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版本号：ZCZB-2026-010720260318002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2025年黑池镇省级农业产业强镇项目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ZCZB-2026-0107</w:t>
      </w:r>
      <w:r>
        <w:br/>
      </w:r>
      <w:r>
        <w:br/>
      </w:r>
      <w:r>
        <w:br/>
      </w:r>
    </w:p>
    <w:p>
      <w:pPr>
        <w:pStyle w:val="null3"/>
        <w:jc w:val="center"/>
        <w:outlineLvl w:val="2"/>
      </w:pPr>
      <w:r>
        <w:rPr>
          <w:rFonts w:ascii="仿宋_GB2312" w:hAnsi="仿宋_GB2312" w:cs="仿宋_GB2312" w:eastAsia="仿宋_GB2312"/>
          <w:sz w:val="28"/>
          <w:b/>
        </w:rPr>
        <w:t>合阳县黑池镇人民政府</w:t>
      </w:r>
    </w:p>
    <w:p>
      <w:pPr>
        <w:pStyle w:val="null3"/>
        <w:jc w:val="center"/>
        <w:outlineLvl w:val="2"/>
      </w:pPr>
      <w:r>
        <w:rPr>
          <w:rFonts w:ascii="仿宋_GB2312" w:hAnsi="仿宋_GB2312" w:cs="仿宋_GB2312" w:eastAsia="仿宋_GB2312"/>
          <w:sz w:val="28"/>
          <w:b/>
        </w:rPr>
        <w:t>陕西正城项目管理有限公司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陕西正城项目管理有限公司</w:t>
      </w:r>
      <w:r>
        <w:rPr>
          <w:rFonts w:ascii="仿宋_GB2312" w:hAnsi="仿宋_GB2312" w:cs="仿宋_GB2312" w:eastAsia="仿宋_GB2312"/>
        </w:rPr>
        <w:t>（以下简称“代理机构”）受</w:t>
      </w:r>
      <w:r>
        <w:rPr>
          <w:rFonts w:ascii="仿宋_GB2312" w:hAnsi="仿宋_GB2312" w:cs="仿宋_GB2312" w:eastAsia="仿宋_GB2312"/>
        </w:rPr>
        <w:t>合阳县黑池镇人民政府</w:t>
      </w:r>
      <w:r>
        <w:rPr>
          <w:rFonts w:ascii="仿宋_GB2312" w:hAnsi="仿宋_GB2312" w:cs="仿宋_GB2312" w:eastAsia="仿宋_GB2312"/>
        </w:rPr>
        <w:t>委托，拟对</w:t>
      </w:r>
      <w:r>
        <w:rPr>
          <w:rFonts w:ascii="仿宋_GB2312" w:hAnsi="仿宋_GB2312" w:cs="仿宋_GB2312" w:eastAsia="仿宋_GB2312"/>
        </w:rPr>
        <w:t>2025年黑池镇省级农业产业强镇项目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ZCZB-2026-0107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2025年黑池镇省级农业产业强镇项目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2025年黑池镇省级农业产业强镇项目。建设农产品展销中心一处及室外展销场地一处，配套设施设备。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采购包1（2025年黑池镇省级农业产业强镇项目）：属于专门面向中小企业采购。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财务状况：供应商是法人的，提供2024年度或2025年度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磋商担保函；</w:t>
      </w:r>
    </w:p>
    <w:p>
      <w:pPr>
        <w:pStyle w:val="null3"/>
      </w:pPr>
      <w:r>
        <w:rPr>
          <w:rFonts w:ascii="仿宋_GB2312" w:hAnsi="仿宋_GB2312" w:cs="仿宋_GB2312" w:eastAsia="仿宋_GB2312"/>
        </w:rPr>
        <w:t>2、税收缴纳证明：提供 2025年 3 月 1 日以来任意一个月税收缴纳证明（至少包含增值税或企业所得税其中一种），依法免税或无需缴纳税收的单位应提供相关证明材料；</w:t>
      </w:r>
    </w:p>
    <w:p>
      <w:pPr>
        <w:pStyle w:val="null3"/>
      </w:pPr>
      <w:r>
        <w:rPr>
          <w:rFonts w:ascii="仿宋_GB2312" w:hAnsi="仿宋_GB2312" w:cs="仿宋_GB2312" w:eastAsia="仿宋_GB2312"/>
        </w:rPr>
        <w:t>3、社会保障资金缴纳证明：提供 2025年 3 月 1 日以来任意一个月的社会保障资金缴存单据或社保机构开具的社会保险参保缴费情况证明，依法不需要缴纳社会保障资金的单位应提供相关证明材料；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4、具备履行合同所必需的设备和专业技术能力的证明材料：具备履行合同所必需的设备和专业技术能力的证明材料（书面声明）；</w:t>
      </w:r>
    </w:p>
    <w:p>
      <w:pPr>
        <w:pStyle w:val="null3"/>
      </w:pPr>
      <w:r>
        <w:rPr>
          <w:rFonts w:ascii="仿宋_GB2312" w:hAnsi="仿宋_GB2312" w:cs="仿宋_GB2312" w:eastAsia="仿宋_GB2312"/>
        </w:rPr>
        <w:t>5、无违法记录声明：参加政府采购活动前 3 年内在经营活动中没有重大违法记录的书面声明；</w:t>
      </w:r>
    </w:p>
    <w:p>
      <w:pPr>
        <w:pStyle w:val="null3"/>
      </w:pPr>
      <w:r>
        <w:rPr>
          <w:rFonts w:ascii="仿宋_GB2312" w:hAnsi="仿宋_GB2312" w:cs="仿宋_GB2312" w:eastAsia="仿宋_GB2312"/>
        </w:rPr>
        <w:t>6、营业执照：企业法人具有有效的营业执照（具备统一社会信用代码）；事业法人应具有有效的事业单位法人证；其他组织应具有合法证明文件；自然人具有身份证明文件；</w:t>
      </w:r>
    </w:p>
    <w:p>
      <w:pPr>
        <w:pStyle w:val="null3"/>
      </w:pPr>
      <w:r>
        <w:rPr>
          <w:rFonts w:ascii="仿宋_GB2312" w:hAnsi="仿宋_GB2312" w:cs="仿宋_GB2312" w:eastAsia="仿宋_GB2312"/>
        </w:rPr>
        <w:t>7、资质要求：供应商须具备建设行政主管部门颁发的建筑工程施工总承包三级（含三级）以上资质，企业具有有效的安全生产许可证；</w:t>
      </w:r>
    </w:p>
    <w:p>
      <w:pPr>
        <w:pStyle w:val="null3"/>
      </w:pPr>
      <w:r>
        <w:rPr>
          <w:rFonts w:ascii="仿宋_GB2312" w:hAnsi="仿宋_GB2312" w:cs="仿宋_GB2312" w:eastAsia="仿宋_GB2312"/>
        </w:rPr>
        <w:t>8、项目经理资格：拟派项目经理具备建筑工程专业二级以上（含二级）注册建造师资格，需在本企业注册且具有有效的安全生产考核合格证书，无在建证明材料或书面承诺；</w:t>
      </w:r>
    </w:p>
    <w:p>
      <w:pPr>
        <w:pStyle w:val="null3"/>
      </w:pPr>
      <w:r>
        <w:rPr>
          <w:rFonts w:ascii="仿宋_GB2312" w:hAnsi="仿宋_GB2312" w:cs="仿宋_GB2312" w:eastAsia="仿宋_GB2312"/>
        </w:rPr>
        <w:t>9、法定代表人授权书：被授权人参与的应提供法定代表人(单位负责人)授权书及被授权人身份证原件，法定代表人(单位负责人)直接参加只须提供法定代表人(单位负责人)身份证原件；</w:t>
      </w:r>
    </w:p>
    <w:p>
      <w:pPr>
        <w:pStyle w:val="null3"/>
      </w:pPr>
      <w:r>
        <w:rPr>
          <w:rFonts w:ascii="仿宋_GB2312" w:hAnsi="仿宋_GB2312" w:cs="仿宋_GB2312" w:eastAsia="仿宋_GB2312"/>
        </w:rPr>
        <w:t>10、信用情况：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采购代理机构于响应文件截止日当天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合阳县黑池镇人民政府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陕西省渭南市合阳县黑池镇中心街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17392145112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陕西省西安市莲湖区陕西省西安市莲湖区唐延路北段20号太和时代广场C座206室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张盼</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15191081735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秦维纲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开户名称：陕西正城项目管理有限公司</w:t>
            </w:r>
          </w:p>
          <w:p>
            <w:pPr>
              <w:pStyle w:val="null3"/>
            </w:pPr>
            <w:r>
              <w:rPr>
                <w:rFonts w:ascii="仿宋_GB2312" w:hAnsi="仿宋_GB2312" w:cs="仿宋_GB2312" w:eastAsia="仿宋_GB2312"/>
              </w:rPr>
              <w:t>开户银行：交通银行西安大寨路支行</w:t>
            </w:r>
          </w:p>
          <w:p>
            <w:pPr>
              <w:pStyle w:val="null3"/>
            </w:pPr>
            <w:r>
              <w:rPr>
                <w:rFonts w:ascii="仿宋_GB2312" w:hAnsi="仿宋_GB2312" w:cs="仿宋_GB2312" w:eastAsia="仿宋_GB2312"/>
              </w:rPr>
              <w:t>银行账号：611301079013001226728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金额参照国家发展计划委员会计价格[2002]1980号文件、国家发展和改革委员会办公厅颁发的《关于招标代理服务收费有关问题的通知》（发改办价格[2003]857号）规定的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合阳县黑池镇人民政府</w:t>
      </w:r>
      <w:r>
        <w:rPr>
          <w:rFonts w:ascii="仿宋_GB2312" w:hAnsi="仿宋_GB2312" w:cs="仿宋_GB2312" w:eastAsia="仿宋_GB2312"/>
        </w:rPr>
        <w:t>和</w:t>
      </w:r>
      <w:r>
        <w:rPr>
          <w:rFonts w:ascii="仿宋_GB2312" w:hAnsi="仿宋_GB2312" w:cs="仿宋_GB2312" w:eastAsia="仿宋_GB2312"/>
        </w:rPr>
        <w:t>陕西正城项目管理有限公司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合阳县黑池镇人民政府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合阳县黑池镇人民政府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1.本工程应按要求完成工程全部内容。 2.本工程验收标准应符合国家相关工程管理规定及行业标准以及图纸要求。 3.本项目还需要达到以下验收要求：供应商应在磋商响应文件中承诺的工程质量标准应达到磋商文件中要求的工程质量标准并符合国家法律法规、行业管理部门要求的其他强制性标准。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联系人：张盼</w:t>
      </w:r>
    </w:p>
    <w:p>
      <w:pPr>
        <w:pStyle w:val="null3"/>
      </w:pPr>
      <w:r>
        <w:rPr>
          <w:rFonts w:ascii="仿宋_GB2312" w:hAnsi="仿宋_GB2312" w:cs="仿宋_GB2312" w:eastAsia="仿宋_GB2312"/>
        </w:rPr>
        <w:t>联系电话：15191081735</w:t>
      </w:r>
    </w:p>
    <w:p>
      <w:pPr>
        <w:pStyle w:val="null3"/>
      </w:pPr>
      <w:r>
        <w:rPr>
          <w:rFonts w:ascii="仿宋_GB2312" w:hAnsi="仿宋_GB2312" w:cs="仿宋_GB2312" w:eastAsia="仿宋_GB2312"/>
        </w:rPr>
        <w:t>地址：陕西省西安市莲湖区太和时代广场C座206室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1000000</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pPr>
            <w:r>
              <w:rPr>
                <w:rFonts w:ascii="仿宋_GB2312" w:hAnsi="仿宋_GB2312" w:cs="仿宋_GB2312" w:eastAsia="仿宋_GB2312"/>
              </w:rPr>
              <w:t>次</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标的名称：1000000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1"/>
              </w:rPr>
              <w:t>2025年黑池镇省级农业产业强镇项目。建设农产品展销中心一处及室外展销场地一处，配套设施设备。（工程量清单另附）</w:t>
            </w:r>
          </w:p>
          <w:p>
            <w:pPr>
              <w:pStyle w:val="null3"/>
              <w:jc w:val="left"/>
            </w:pPr>
            <w:r>
              <w:rPr>
                <w:rFonts w:ascii="仿宋_GB2312" w:hAnsi="仿宋_GB2312" w:cs="仿宋_GB2312" w:eastAsia="仿宋_GB2312"/>
                <w:sz w:val="21"/>
              </w:rPr>
              <w:t>1、依据设计文件的要求，本招标工程项目中建筑工程部分材料、设备、施工须达到设计图纸及所涉及到的现行中华人民共和国《工程建设标准强制性条文》以及省、自治区、直辖市或行业的工程建设标准、规范的要求。</w:t>
            </w:r>
          </w:p>
          <w:p>
            <w:pPr>
              <w:pStyle w:val="null3"/>
              <w:jc w:val="left"/>
            </w:pPr>
            <w:r>
              <w:rPr>
                <w:rFonts w:ascii="仿宋_GB2312" w:hAnsi="仿宋_GB2312" w:cs="仿宋_GB2312" w:eastAsia="仿宋_GB2312"/>
                <w:sz w:val="21"/>
              </w:rPr>
              <w:t>2、根据工程设计要求，该项工程项目的材料、设备、施工除必须达到以上标准外，还应满足设计要求和发包人在招标文件中的有关要求。</w:t>
            </w:r>
          </w:p>
          <w:p>
            <w:pPr>
              <w:pStyle w:val="null3"/>
              <w:jc w:val="left"/>
            </w:pPr>
            <w:r>
              <w:rPr>
                <w:rFonts w:ascii="仿宋_GB2312" w:hAnsi="仿宋_GB2312" w:cs="仿宋_GB2312" w:eastAsia="仿宋_GB2312"/>
                <w:sz w:val="21"/>
              </w:rPr>
              <w:t>3、该工程项目的材料、设备、施工如无上述1、2条的标准，在材料、设备的定货采购和施工安装时，应出具生产厂家或施工安装企业在技术监督部门已备案企业标准，并经发包人指定代表人和监理（如有）认定质量合格后方可实施。</w:t>
            </w:r>
          </w:p>
          <w:p>
            <w:pPr>
              <w:pStyle w:val="null3"/>
              <w:jc w:val="left"/>
            </w:pPr>
            <w:r>
              <w:rPr>
                <w:rFonts w:ascii="仿宋_GB2312" w:hAnsi="仿宋_GB2312" w:cs="仿宋_GB2312" w:eastAsia="仿宋_GB2312"/>
                <w:sz w:val="21"/>
              </w:rPr>
              <w:t>4、施工过程中，如果国家或有关部门颁布了新的技术标准或规范，则承包人(中标人)应采用新的标准或规范进行施工。</w:t>
            </w:r>
          </w:p>
          <w:p>
            <w:pPr>
              <w:pStyle w:val="null3"/>
              <w:jc w:val="both"/>
            </w:pPr>
            <w:r>
              <w:rPr>
                <w:rFonts w:ascii="仿宋_GB2312" w:hAnsi="仿宋_GB2312" w:cs="仿宋_GB2312" w:eastAsia="仿宋_GB2312"/>
                <w:sz w:val="21"/>
              </w:rPr>
              <w:t>5、投标人为本项目拟投入的现场劳动力须满足工期需要，投标人应充分考虑工程量、工期、工作面等因素安排劳动力，针对劳动力是否满足工期要求，发包人会定期进行检查，对劳动力不满足工期要求的情况必须无条件增加劳动力。投标人应在技术标投标文件中详细列明各工种劳动力配备情况及每日投入施工的人员数量及工种。</w:t>
            </w:r>
          </w:p>
          <w:p>
            <w:pPr>
              <w:pStyle w:val="null3"/>
              <w:jc w:val="both"/>
            </w:pPr>
            <w:r>
              <w:rPr>
                <w:rFonts w:ascii="仿宋_GB2312" w:hAnsi="仿宋_GB2312" w:cs="仿宋_GB2312" w:eastAsia="仿宋_GB2312"/>
                <w:sz w:val="21"/>
              </w:rPr>
              <w:t>6、承包人须注意负责区域环境卫生，对现场施工人员进行管理不得胡乱流窜干扰招标人的正常业务。</w:t>
            </w:r>
          </w:p>
          <w:p>
            <w:pPr>
              <w:pStyle w:val="null3"/>
              <w:jc w:val="both"/>
            </w:pPr>
            <w:r>
              <w:rPr>
                <w:rFonts w:ascii="仿宋_GB2312" w:hAnsi="仿宋_GB2312" w:cs="仿宋_GB2312" w:eastAsia="仿宋_GB2312"/>
                <w:sz w:val="21"/>
              </w:rPr>
              <w:t>7、项目完工退场前须进行整体保洁并清运垃圾。</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1、国家现行和相关技术规程； 2、工程所在地建设主管部门的标准、规范； 3、工程所在地行业的标准、规范； 4、发包人施工图纸的具体要求。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依据设计文件的要求，本招标工程项目中建筑工程部分材料、设备、施工须达到设计图纸及所涉及到的现行中华人民共和国《工程建设标准强制性条文》以及省、自治区、直辖市或行业的工程建设标准、规范的要求。 2、根据工程设计要求，该项工程项目的材料、设备、施工除必须达到以上标准外，还应满足设计要求和发包人在招标文件中的有关要求。 3、该工程项目的材料、设备、施工如无上述1、2条的标准，在材料、设备的定货采购和施工安装时，应出具生产厂家或施工安装企业在技术监督部门已备案企业标准，并经发包人指定代表人和监理（如有）认定质量合格后方可实施。 4、施工过程中，如果国家或有关部门颁布了新的技术标准或规范，则承包人(中标人)应采用新的标准或规范进行施工。 5、投标人为本项目拟投入的现场劳动力须满足工期需要，投标人应充分考虑工程量、工期、工作面等因素安排劳动力，针对劳动力是否满足工期要求，发包人会定期进行检查，对劳动力不满足工期要求的情况必须无条件增加劳动力。投标人应在技术标投标文件中详细列明各工种劳动力配备情况及每日投入施工的人员数量及工种。 6、承包人须注意负责区域环境卫生，对现场施工人员进行管理不得胡乱流窜干扰招标人的正常业务。 7、项目完工退场前须进行整体保洁并清运垃圾。</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工期：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供应商应为中型企业、小型企业、微型企业或监狱企业或残疾人福利性单位。供应商为中型企业、小型企业、微型企业的，提供《中小企业声明函》，且中小企业的划分标准所属行业为建筑业；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是法人的，提供2024年度或2025年度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磋商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 2025年 3 月 1 日以来任意一个月税收缴纳证明（至少包含增值税或企业所得税其中一种），依法免税或无需缴纳税收的单位应提供相关证明材料；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 2025年 3 月 1 日以来任意一个月的社会保障资金缴存单据或社保机构开具的社会保险参保缴费情况证明，依法不需要缴纳社会保障资金的单位应提供相关证明材料；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具备履行合同所必需的设备和专业技术能力的证明材料（书面声明）；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企业法人具有有效的营业执照（具备统一社会信用代码）；事业法人应具有有效的事业单位法人证；其他组织应具有合法证明文件；自然人具有身份证明文件；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供应商须具备建设行政主管部门颁发的建筑工程施工总承包三级（含三级）以上资质，企业具有有效的安全生产许可证；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项目经理资格</w:t>
            </w:r>
          </w:p>
        </w:tc>
        <w:tc>
          <w:tcPr>
            <w:tcW w:type="dxa" w:w="3322"/>
          </w:tcPr>
          <w:p>
            <w:pPr>
              <w:pStyle w:val="null3"/>
            </w:pPr>
            <w:r>
              <w:rPr>
                <w:rFonts w:ascii="仿宋_GB2312" w:hAnsi="仿宋_GB2312" w:cs="仿宋_GB2312" w:eastAsia="仿宋_GB2312"/>
              </w:rPr>
              <w:t>拟派项目经理具备建筑工程专业二级以上（含二级）注册建造师资格，需在本企业注册且具有有效的安全生产考核合格证书，无在建证明材料或书面承诺；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被授权人参与的应提供法定代表人(单位负责人)授权书及被授权人身份证原件，法定代表人(单位负责人)直接参加只须提供法定代表人(单位负责人)身份证原件；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采购代理机构于响应文件截止日当天查询结果为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《关于推动解决政府采购异常低价问题的通知》（财库〔2026〕2 号）， 要求强化政府采购异常低价审查，政府采购评审中出现下列情形之一的，评审委员会应当启动异常低价投标（响应）审查程序：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磋商响应文件构成是否有重大缺项，是否按照磋商文件要求的格式编写磋商响应文件。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w:t>
            </w:r>
          </w:p>
        </w:tc>
        <w:tc>
          <w:tcPr>
            <w:tcW w:type="dxa" w:w="3322"/>
          </w:tcPr>
          <w:p>
            <w:pPr>
              <w:pStyle w:val="null3"/>
            </w:pPr>
            <w:r>
              <w:rPr>
                <w:rFonts w:ascii="仿宋_GB2312" w:hAnsi="仿宋_GB2312" w:cs="仿宋_GB2312" w:eastAsia="仿宋_GB2312"/>
              </w:rPr>
              <w:t>磋商响应文件的签署、加盖印章是否合格、有效；提供的各种证明文件、数据、资料是否真实、有效。磋商有效期是否满足磋商文件规定，授权期限是否满足磋商文件中规定的有效期。</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w:t>
            </w:r>
          </w:p>
        </w:tc>
        <w:tc>
          <w:tcPr>
            <w:tcW w:type="dxa" w:w="3322"/>
          </w:tcPr>
          <w:p>
            <w:pPr>
              <w:pStyle w:val="null3"/>
            </w:pPr>
            <w:r>
              <w:rPr>
                <w:rFonts w:ascii="仿宋_GB2312" w:hAnsi="仿宋_GB2312" w:cs="仿宋_GB2312" w:eastAsia="仿宋_GB2312"/>
              </w:rPr>
              <w:t>磋商响应文件方案是否有重大缺漏项；磋商响应文件的技术方案是否有重大偏离；磋商响应文件商务条款是否有重大偏离；对合同中规定的双方的权利和义务是否做出了实质性修改。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项目管理及力量配备</w:t>
            </w:r>
          </w:p>
        </w:tc>
        <w:tc>
          <w:tcPr>
            <w:tcW w:type="dxa" w:w="2492"/>
          </w:tcPr>
          <w:p>
            <w:pPr>
              <w:pStyle w:val="null3"/>
            </w:pPr>
            <w:r>
              <w:rPr>
                <w:rFonts w:ascii="仿宋_GB2312" w:hAnsi="仿宋_GB2312" w:cs="仿宋_GB2312" w:eastAsia="仿宋_GB2312"/>
              </w:rPr>
              <w:t>项目管理及力量配备内容完整、可实施、且有针对性：5分； 项目管理及力量配备内容完整、可实施：3分； 项目管理及力量配备方案基本完整：1分。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施工方案内容完整、可实施、且有针对性：5分； 施工方案内容完整、可实施：3分； 施工方案方案基本完整：1分。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确保工期的技术组织措施内容完整、可实施、且有针对性：5分； 确保工期的技术组织措施内容完整、可实施：3分； 确保工期的技术组织措施方案基本完整：1分。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确保工程质量的技术措施</w:t>
            </w:r>
          </w:p>
        </w:tc>
        <w:tc>
          <w:tcPr>
            <w:tcW w:type="dxa" w:w="2492"/>
          </w:tcPr>
          <w:p>
            <w:pPr>
              <w:pStyle w:val="null3"/>
            </w:pPr>
            <w:r>
              <w:rPr>
                <w:rFonts w:ascii="仿宋_GB2312" w:hAnsi="仿宋_GB2312" w:cs="仿宋_GB2312" w:eastAsia="仿宋_GB2312"/>
              </w:rPr>
              <w:t>确保工程质量的技术措施内容完整、可实施、且有针对性：5分； 确保工期的技术组织措施内容完整、可实施：3分； 确保工期的技术组织措施方案基本完整：1分。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投标技术方案.docx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确保安全施工的技术组织措施内容完整、可实施、且有针对性：5分； 确保安全施工的技术组织措施内容完整、可实施：3分； 确保安全施工的技术组织措施方案基本完整：1分。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投标技术方案.docx</w:t>
            </w:r>
          </w:p>
        </w:tc>
      </w:tr>
      <w:tr>
        <w:tc>
          <w:tcPr>
            <w:tcW w:type="dxa" w:w="831"/>
            <w:vMerge/>
          </w:tcPr>
          <w:p/>
        </w:tc>
        <w:tc>
          <w:tcPr>
            <w:tcW w:type="dxa" w:w="1661"/>
          </w:tcPr>
          <w:p>
            <w:pPr>
              <w:pStyle w:val="null3"/>
            </w:pPr>
            <w:r>
              <w:rPr>
                <w:rFonts w:ascii="仿宋_GB2312" w:hAnsi="仿宋_GB2312" w:cs="仿宋_GB2312" w:eastAsia="仿宋_GB2312"/>
              </w:rPr>
              <w:t>施工部署及施工总平面布置图及临时设施临时用地表</w:t>
            </w:r>
          </w:p>
        </w:tc>
        <w:tc>
          <w:tcPr>
            <w:tcW w:type="dxa" w:w="2492"/>
          </w:tcPr>
          <w:p>
            <w:pPr>
              <w:pStyle w:val="null3"/>
            </w:pPr>
            <w:r>
              <w:rPr>
                <w:rFonts w:ascii="仿宋_GB2312" w:hAnsi="仿宋_GB2312" w:cs="仿宋_GB2312" w:eastAsia="仿宋_GB2312"/>
              </w:rPr>
              <w:t>施工部署及施工总平面布置图及临时设施临时用地表内容完整、可实施、且有针对性：5分； 施工部署及施工总平面布置图及临时设施临时用地表内容完整、可实施：3分； 施工部署及施工总平面布置图及临时设施临时用地表方案基本完整：1分。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确保文明施工的技术组织措施内容完整、可实施、且有针对性：5分； 确保文明施工的技术组织措施内容完整、可实施：3分； 确保文明施工的技术组织措施基本完整：1分。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投标技术方案.docx</w:t>
            </w:r>
          </w:p>
        </w:tc>
      </w:tr>
      <w:tr>
        <w:tc>
          <w:tcPr>
            <w:tcW w:type="dxa" w:w="831"/>
            <w:vMerge/>
          </w:tcPr>
          <w:p/>
        </w:tc>
        <w:tc>
          <w:tcPr>
            <w:tcW w:type="dxa" w:w="1661"/>
          </w:tcPr>
          <w:p>
            <w:pPr>
              <w:pStyle w:val="null3"/>
            </w:pPr>
            <w:r>
              <w:rPr>
                <w:rFonts w:ascii="仿宋_GB2312" w:hAnsi="仿宋_GB2312" w:cs="仿宋_GB2312" w:eastAsia="仿宋_GB2312"/>
              </w:rPr>
              <w:t>主要机具、设备配备情况</w:t>
            </w:r>
          </w:p>
        </w:tc>
        <w:tc>
          <w:tcPr>
            <w:tcW w:type="dxa" w:w="2492"/>
          </w:tcPr>
          <w:p>
            <w:pPr>
              <w:pStyle w:val="null3"/>
            </w:pPr>
            <w:r>
              <w:rPr>
                <w:rFonts w:ascii="仿宋_GB2312" w:hAnsi="仿宋_GB2312" w:cs="仿宋_GB2312" w:eastAsia="仿宋_GB2312"/>
              </w:rPr>
              <w:t>主要机具、设备配备情况内容完整、可实施、且有针对性：5分； 主要机具、设备配备情况内容完整、可实施：3分； 主要机具、设备配备情况方案基本完整：1分。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投标技术方案.docx</w:t>
            </w:r>
          </w:p>
        </w:tc>
      </w:tr>
      <w:tr>
        <w:tc>
          <w:tcPr>
            <w:tcW w:type="dxa" w:w="831"/>
            <w:vMerge/>
          </w:tcPr>
          <w:p/>
        </w:tc>
        <w:tc>
          <w:tcPr>
            <w:tcW w:type="dxa" w:w="1661"/>
          </w:tcPr>
          <w:p>
            <w:pPr>
              <w:pStyle w:val="null3"/>
            </w:pPr>
            <w:r>
              <w:rPr>
                <w:rFonts w:ascii="仿宋_GB2312" w:hAnsi="仿宋_GB2312" w:cs="仿宋_GB2312" w:eastAsia="仿宋_GB2312"/>
              </w:rPr>
              <w:t>主要材料和劳动力配备情况</w:t>
            </w:r>
          </w:p>
        </w:tc>
        <w:tc>
          <w:tcPr>
            <w:tcW w:type="dxa" w:w="2492"/>
          </w:tcPr>
          <w:p>
            <w:pPr>
              <w:pStyle w:val="null3"/>
            </w:pPr>
            <w:r>
              <w:rPr>
                <w:rFonts w:ascii="仿宋_GB2312" w:hAnsi="仿宋_GB2312" w:cs="仿宋_GB2312" w:eastAsia="仿宋_GB2312"/>
              </w:rPr>
              <w:t>主要材料和劳动力配备情况内容完整、可实施、且有针对性：5分； 主要材料和劳动力配备情况内容完整、可实施：3分； 主要材料和劳动力配备情况方案基本完整：1分。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投标技术方案.docx</w:t>
            </w:r>
          </w:p>
        </w:tc>
      </w:tr>
      <w:tr>
        <w:tc>
          <w:tcPr>
            <w:tcW w:type="dxa" w:w="831"/>
            <w:vMerge/>
          </w:tcPr>
          <w:p/>
        </w:tc>
        <w:tc>
          <w:tcPr>
            <w:tcW w:type="dxa" w:w="1661"/>
          </w:tcPr>
          <w:p>
            <w:pPr>
              <w:pStyle w:val="null3"/>
            </w:pPr>
            <w:r>
              <w:rPr>
                <w:rFonts w:ascii="仿宋_GB2312" w:hAnsi="仿宋_GB2312" w:cs="仿宋_GB2312" w:eastAsia="仿宋_GB2312"/>
              </w:rPr>
              <w:t>采用新技术、新工艺对提高工程质量、缩短工期、降低造价的可行性措施</w:t>
            </w:r>
          </w:p>
        </w:tc>
        <w:tc>
          <w:tcPr>
            <w:tcW w:type="dxa" w:w="2492"/>
          </w:tcPr>
          <w:p>
            <w:pPr>
              <w:pStyle w:val="null3"/>
            </w:pPr>
            <w:r>
              <w:rPr>
                <w:rFonts w:ascii="仿宋_GB2312" w:hAnsi="仿宋_GB2312" w:cs="仿宋_GB2312" w:eastAsia="仿宋_GB2312"/>
              </w:rPr>
              <w:t>采用新技术、新工艺对提高工程质量、缩短工期、降低造价的可行性措施内容完整、可实施、且有针对性：5分； 采用新技术、新工艺对提高工程质量、缩短工期、降低造价的可行性措施内容完整、可实施：3分； 采用新技术、新工艺对提高工程质量、缩短工期、降低造价的可行性措施方案基本完整：1分。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投标技术方案.docx</w:t>
            </w:r>
          </w:p>
        </w:tc>
      </w:tr>
      <w:tr>
        <w:tc>
          <w:tcPr>
            <w:tcW w:type="dxa" w:w="831"/>
            <w:vMerge/>
          </w:tcPr>
          <w:p/>
        </w:tc>
        <w:tc>
          <w:tcPr>
            <w:tcW w:type="dxa" w:w="1661"/>
          </w:tcPr>
          <w:p>
            <w:pPr>
              <w:pStyle w:val="null3"/>
            </w:pPr>
            <w:r>
              <w:rPr>
                <w:rFonts w:ascii="仿宋_GB2312" w:hAnsi="仿宋_GB2312" w:cs="仿宋_GB2312" w:eastAsia="仿宋_GB2312"/>
              </w:rPr>
              <w:t>进度计划和工期目标</w:t>
            </w:r>
          </w:p>
        </w:tc>
        <w:tc>
          <w:tcPr>
            <w:tcW w:type="dxa" w:w="2492"/>
          </w:tcPr>
          <w:p>
            <w:pPr>
              <w:pStyle w:val="null3"/>
            </w:pPr>
            <w:r>
              <w:rPr>
                <w:rFonts w:ascii="仿宋_GB2312" w:hAnsi="仿宋_GB2312" w:cs="仿宋_GB2312" w:eastAsia="仿宋_GB2312"/>
              </w:rPr>
              <w:t>进度计划和工期目标（供应商提供施工计划网络图或横道图）内容完整、可实施、且有针对性：5分； 进度计划和工期目标（供应商提供施工计划网络图或横道图）内容完整、可实施：3分； 进度计划和工期目标（供应商提供施工计划网络图或横道图）方案基本完整：1分。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投标技术方案.docx</w:t>
            </w:r>
          </w:p>
        </w:tc>
      </w:tr>
      <w:tr>
        <w:tc>
          <w:tcPr>
            <w:tcW w:type="dxa" w:w="831"/>
            <w:vMerge/>
          </w:tcPr>
          <w:p/>
        </w:tc>
        <w:tc>
          <w:tcPr>
            <w:tcW w:type="dxa" w:w="1661"/>
          </w:tcPr>
          <w:p>
            <w:pPr>
              <w:pStyle w:val="null3"/>
            </w:pPr>
            <w:r>
              <w:rPr>
                <w:rFonts w:ascii="仿宋_GB2312" w:hAnsi="仿宋_GB2312" w:cs="仿宋_GB2312" w:eastAsia="仿宋_GB2312"/>
              </w:rPr>
              <w:t>环境保护管理体系、环保控制措施、污染物及废弃物处理的排放、噪音控制、防尘及扬尘的控制措施</w:t>
            </w:r>
          </w:p>
        </w:tc>
        <w:tc>
          <w:tcPr>
            <w:tcW w:type="dxa" w:w="2492"/>
          </w:tcPr>
          <w:p>
            <w:pPr>
              <w:pStyle w:val="null3"/>
            </w:pPr>
            <w:r>
              <w:rPr>
                <w:rFonts w:ascii="仿宋_GB2312" w:hAnsi="仿宋_GB2312" w:cs="仿宋_GB2312" w:eastAsia="仿宋_GB2312"/>
              </w:rPr>
              <w:t>环境保护管理体系、环保控制措施、污染物及废弃物处理的排放、噪音控制、防尘及扬尘的控制措施。内容完整、可实施、且有针对性：5分； 环境保护管理体系、环保控制措施、污染物及废弃物处理的排放、噪音控制、防尘及扬尘的控制措施。内容完整、可实施：3分； 环境保护管理体系、环保控制措施、污染物及废弃物处理的排放、噪音控制、防尘及扬尘的控制措施。方案基本完整：1分。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投标技术方案.docx</w:t>
            </w:r>
          </w:p>
        </w:tc>
      </w:tr>
      <w:tr>
        <w:tc>
          <w:tcPr>
            <w:tcW w:type="dxa" w:w="831"/>
            <w:vMerge/>
          </w:tcPr>
          <w:p/>
        </w:tc>
        <w:tc>
          <w:tcPr>
            <w:tcW w:type="dxa" w:w="1661"/>
          </w:tcPr>
          <w:p>
            <w:pPr>
              <w:pStyle w:val="null3"/>
            </w:pPr>
            <w:r>
              <w:rPr>
                <w:rFonts w:ascii="仿宋_GB2312" w:hAnsi="仿宋_GB2312" w:cs="仿宋_GB2312" w:eastAsia="仿宋_GB2312"/>
              </w:rPr>
              <w:t>工程重难点及解决措施</w:t>
            </w:r>
          </w:p>
        </w:tc>
        <w:tc>
          <w:tcPr>
            <w:tcW w:type="dxa" w:w="2492"/>
          </w:tcPr>
          <w:p>
            <w:pPr>
              <w:pStyle w:val="null3"/>
            </w:pPr>
            <w:r>
              <w:rPr>
                <w:rFonts w:ascii="仿宋_GB2312" w:hAnsi="仿宋_GB2312" w:cs="仿宋_GB2312" w:eastAsia="仿宋_GB2312"/>
              </w:rPr>
              <w:t>工程重难点及解决措施内容完整、可实施、且有针对性：5分； 工程重难点及解决措施内容完整、可实施：3分； 工程重难点及解决措施内容基本完整：1分。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投标技术方案.docx</w:t>
            </w:r>
          </w:p>
        </w:tc>
      </w:tr>
      <w:tr>
        <w:tc>
          <w:tcPr>
            <w:tcW w:type="dxa" w:w="831"/>
            <w:vMerge/>
          </w:tcPr>
          <w:p/>
        </w:tc>
        <w:tc>
          <w:tcPr>
            <w:tcW w:type="dxa" w:w="1661"/>
          </w:tcPr>
          <w:p>
            <w:pPr>
              <w:pStyle w:val="null3"/>
            </w:pPr>
            <w:r>
              <w:rPr>
                <w:rFonts w:ascii="仿宋_GB2312" w:hAnsi="仿宋_GB2312" w:cs="仿宋_GB2312" w:eastAsia="仿宋_GB2312"/>
              </w:rPr>
              <w:t>工程验收维护方案</w:t>
            </w:r>
          </w:p>
        </w:tc>
        <w:tc>
          <w:tcPr>
            <w:tcW w:type="dxa" w:w="2492"/>
          </w:tcPr>
          <w:p>
            <w:pPr>
              <w:pStyle w:val="null3"/>
            </w:pPr>
            <w:r>
              <w:rPr>
                <w:rFonts w:ascii="仿宋_GB2312" w:hAnsi="仿宋_GB2312" w:cs="仿宋_GB2312" w:eastAsia="仿宋_GB2312"/>
              </w:rPr>
              <w:t>工程验收维护方案内容完整、可实施、且有针对性：5分； 工程验收维护方案内容完整、可实施：3分； 工程验收维护方案内容基本完整：1分。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1、根据供应商的最后报价，对有效最后报价进行政策性扣减，并依据扣减后的价格（评审价格）进行价格评审。 2、有效最低评审价格得30分。 3、其他报价得分按（有效最低评审价格/评审价格）×30的公式计算其得分。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