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版本号：HYZCCS20260220260331002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合阳县城南排水口建设工程项目竣工决算审计服务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HYZCCS202602</w:t>
      </w:r>
      <w:r>
        <w:br/>
      </w:r>
      <w:r>
        <w:br/>
      </w:r>
      <w:r>
        <w:br/>
      </w:r>
    </w:p>
    <w:p>
      <w:pPr>
        <w:pStyle w:val="null3"/>
        <w:jc w:val="center"/>
        <w:outlineLvl w:val="2"/>
      </w:pPr>
      <w:r>
        <w:rPr>
          <w:rFonts w:ascii="仿宋_GB2312" w:hAnsi="仿宋_GB2312" w:cs="仿宋_GB2312" w:eastAsia="仿宋_GB2312"/>
          <w:sz w:val="28"/>
          <w:b/>
        </w:rPr>
        <w:t>合阳县审计局</w:t>
      </w:r>
    </w:p>
    <w:p>
      <w:pPr>
        <w:pStyle w:val="null3"/>
        <w:jc w:val="center"/>
        <w:outlineLvl w:val="2"/>
      </w:pPr>
      <w:r>
        <w:rPr>
          <w:rFonts w:ascii="仿宋_GB2312" w:hAnsi="仿宋_GB2312" w:cs="仿宋_GB2312" w:eastAsia="仿宋_GB2312"/>
          <w:sz w:val="28"/>
          <w:b/>
        </w:rPr>
        <w:t>合阳县政府采购中心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合阳县政府采购中心</w:t>
      </w:r>
      <w:r>
        <w:rPr>
          <w:rFonts w:ascii="仿宋_GB2312" w:hAnsi="仿宋_GB2312" w:cs="仿宋_GB2312" w:eastAsia="仿宋_GB2312"/>
        </w:rPr>
        <w:t>（以下简称“代理机构”）受</w:t>
      </w:r>
      <w:r>
        <w:rPr>
          <w:rFonts w:ascii="仿宋_GB2312" w:hAnsi="仿宋_GB2312" w:cs="仿宋_GB2312" w:eastAsia="仿宋_GB2312"/>
        </w:rPr>
        <w:t>合阳县审计局</w:t>
      </w:r>
      <w:r>
        <w:rPr>
          <w:rFonts w:ascii="仿宋_GB2312" w:hAnsi="仿宋_GB2312" w:cs="仿宋_GB2312" w:eastAsia="仿宋_GB2312"/>
        </w:rPr>
        <w:t>委托，拟对</w:t>
      </w:r>
      <w:r>
        <w:rPr>
          <w:rFonts w:ascii="仿宋_GB2312" w:hAnsi="仿宋_GB2312" w:cs="仿宋_GB2312" w:eastAsia="仿宋_GB2312"/>
        </w:rPr>
        <w:t>合阳县城南排水口建设工程项目竣工决算审计服务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HYZCCS202602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合阳县城南排水口建设工程项目竣工决算审计服务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1、项目名称：合阳县城南排水口建设工程项目竣工决算审计服务。 2、预算金额：36万元 3、最高限价：36万元 4、采购内容及分包情况：合阳县城南排水口建设工程项目竣工决算审计服务。 5、合同履行期限：自合同签订之日起120日历天 6、项目实施地点：合阳县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采购包1（合阳县城南排水口建设工程项目竣工决算审计服务项目）：属于专门面向中小企业采购。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1、项目负责人：拟派项目负责人必须具备土建专业注册一级造价工程师资格，且在本单位注册。</w:t>
      </w:r>
    </w:p>
    <w:p>
      <w:pPr>
        <w:pStyle w:val="null3"/>
      </w:pPr>
      <w:r>
        <w:rPr>
          <w:rFonts w:ascii="仿宋_GB2312" w:hAnsi="仿宋_GB2312" w:cs="仿宋_GB2312" w:eastAsia="仿宋_GB2312"/>
        </w:rPr>
        <w:t>2、授权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中小企业声明函：本项目为专门面向中小企业项目，供应商应为中型企业、小型企业、微型企业或监狱企业或残疾人福利性单位。供应商为中型企业、小型企业、微型企业的，提供《中小企业声明函》，且中小企业的划分标准所属行业为其他未列明行业（科学研究和技术服务业）；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5、其他：本项目不接受联合体磋商，单位负责人为同一人或者存在控股、管理关系的不同单位，不得同时参加本项目磋商，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解放路164号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薛永军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13772727763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合阳县政府采购中心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陕西省渭南市合阳县合阳县东新街43号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15389138812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不属于《节能产品政府采购品目清单》强制采购类品目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无列入《节能产品政府采购品目清单》的标的</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无列入《环境标志产品政府采购品目清单》的标的</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合阳县审计局</w:t>
      </w:r>
      <w:r>
        <w:rPr>
          <w:rFonts w:ascii="仿宋_GB2312" w:hAnsi="仿宋_GB2312" w:cs="仿宋_GB2312" w:eastAsia="仿宋_GB2312"/>
        </w:rPr>
        <w:t>和</w:t>
      </w:r>
      <w:r>
        <w:rPr>
          <w:rFonts w:ascii="仿宋_GB2312" w:hAnsi="仿宋_GB2312" w:cs="仿宋_GB2312" w:eastAsia="仿宋_GB2312"/>
        </w:rPr>
        <w:t>合阳县政府采购中心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合阳县审计局</w:t>
      </w:r>
      <w:r>
        <w:rPr>
          <w:rFonts w:ascii="仿宋_GB2312" w:hAnsi="仿宋_GB2312" w:cs="仿宋_GB2312" w:eastAsia="仿宋_GB2312"/>
        </w:rPr>
        <w:t>负责解释。除上述磋商文件内容，其他内容由</w:t>
      </w:r>
      <w:r>
        <w:rPr>
          <w:rFonts w:ascii="仿宋_GB2312" w:hAnsi="仿宋_GB2312" w:cs="仿宋_GB2312" w:eastAsia="仿宋_GB2312"/>
        </w:rPr>
        <w:t>合阳县政府采购中心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合阳县政府采购中心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联系人：张林勃</w:t>
      </w:r>
    </w:p>
    <w:p>
      <w:pPr>
        <w:pStyle w:val="null3"/>
      </w:pPr>
      <w:r>
        <w:rPr>
          <w:rFonts w:ascii="仿宋_GB2312" w:hAnsi="仿宋_GB2312" w:cs="仿宋_GB2312" w:eastAsia="仿宋_GB2312"/>
        </w:rPr>
        <w:t>联系电话：15389138812</w:t>
      </w:r>
    </w:p>
    <w:p>
      <w:pPr>
        <w:pStyle w:val="null3"/>
      </w:pPr>
      <w:r>
        <w:rPr>
          <w:rFonts w:ascii="仿宋_GB2312" w:hAnsi="仿宋_GB2312" w:cs="仿宋_GB2312" w:eastAsia="仿宋_GB2312"/>
        </w:rPr>
        <w:t>地址：合阳县东新街43号</w:t>
      </w:r>
    </w:p>
    <w:p>
      <w:pPr>
        <w:pStyle w:val="null3"/>
      </w:pPr>
      <w:r>
        <w:rPr>
          <w:rFonts w:ascii="仿宋_GB2312" w:hAnsi="仿宋_GB2312" w:cs="仿宋_GB2312" w:eastAsia="仿宋_GB2312"/>
        </w:rPr>
        <w:t>邮编：715300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合阳县城南排水口建设工程项目竣工决算审计服务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基本费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效益（成果）费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标的名称：基本费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一、项目名称</w:t>
            </w:r>
          </w:p>
          <w:p>
            <w:pPr>
              <w:pStyle w:val="null3"/>
              <w:ind w:firstLine="640"/>
              <w:jc w:val="both"/>
            </w:pPr>
            <w:r>
              <w:rPr>
                <w:rFonts w:ascii="仿宋_GB2312" w:hAnsi="仿宋_GB2312" w:cs="仿宋_GB2312" w:eastAsia="仿宋_GB2312"/>
                <w:sz w:val="32"/>
              </w:rPr>
              <w:t>合阳县城南排水口建设工程项目竣工决算</w:t>
            </w:r>
            <w:r>
              <w:rPr>
                <w:rFonts w:ascii="仿宋_GB2312" w:hAnsi="仿宋_GB2312" w:cs="仿宋_GB2312" w:eastAsia="仿宋_GB2312"/>
                <w:sz w:val="32"/>
              </w:rPr>
              <w:t>审计</w:t>
            </w:r>
            <w:r>
              <w:rPr>
                <w:rFonts w:ascii="仿宋_GB2312" w:hAnsi="仿宋_GB2312" w:cs="仿宋_GB2312" w:eastAsia="仿宋_GB2312"/>
                <w:sz w:val="32"/>
              </w:rPr>
              <w:t>服务</w:t>
            </w:r>
          </w:p>
          <w:p>
            <w:pPr>
              <w:pStyle w:val="null3"/>
              <w:ind w:firstLine="640"/>
              <w:jc w:val="both"/>
            </w:pPr>
            <w:r>
              <w:rPr>
                <w:rFonts w:ascii="仿宋_GB2312" w:hAnsi="仿宋_GB2312" w:cs="仿宋_GB2312" w:eastAsia="仿宋_GB2312"/>
                <w:sz w:val="32"/>
              </w:rPr>
              <w:t>二、服务指标具体要求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color w:val="000000"/>
              </w:rPr>
              <w:t>1、审核基本建设程序执行情况。</w:t>
            </w:r>
          </w:p>
          <w:p>
            <w:pPr>
              <w:pStyle w:val="null3"/>
              <w:ind w:firstLine="640"/>
              <w:jc w:val="both"/>
            </w:pPr>
            <w:r>
              <w:rPr>
                <w:rFonts w:ascii="仿宋_GB2312" w:hAnsi="仿宋_GB2312" w:cs="仿宋_GB2312" w:eastAsia="仿宋_GB2312"/>
                <w:sz w:val="32"/>
                <w:color w:val="000000"/>
              </w:rPr>
              <w:t>2、审核项目的勘察、设计、施工、监理、供货、咨询和工程承包发包情况。</w:t>
            </w:r>
          </w:p>
          <w:p>
            <w:pPr>
              <w:pStyle w:val="null3"/>
              <w:ind w:firstLine="640"/>
              <w:jc w:val="both"/>
            </w:pPr>
            <w:r>
              <w:rPr>
                <w:rFonts w:ascii="仿宋_GB2312" w:hAnsi="仿宋_GB2312" w:cs="仿宋_GB2312" w:eastAsia="仿宋_GB2312"/>
                <w:sz w:val="32"/>
                <w:color w:val="000000"/>
              </w:rPr>
              <w:t>3、审核合同签订、履行情况。</w:t>
            </w:r>
          </w:p>
          <w:p>
            <w:pPr>
              <w:pStyle w:val="null3"/>
              <w:ind w:firstLine="640"/>
              <w:jc w:val="both"/>
            </w:pPr>
            <w:r>
              <w:rPr>
                <w:rFonts w:ascii="仿宋_GB2312" w:hAnsi="仿宋_GB2312" w:cs="仿宋_GB2312" w:eastAsia="仿宋_GB2312"/>
                <w:sz w:val="32"/>
                <w:color w:val="000000"/>
              </w:rPr>
              <w:t>4、审核项目所需设备、材料的采购和管理情况。</w:t>
            </w:r>
          </w:p>
          <w:p>
            <w:pPr>
              <w:pStyle w:val="null3"/>
              <w:ind w:firstLine="640"/>
              <w:jc w:val="both"/>
            </w:pPr>
            <w:r>
              <w:rPr>
                <w:rFonts w:ascii="仿宋_GB2312" w:hAnsi="仿宋_GB2312" w:cs="仿宋_GB2312" w:eastAsia="仿宋_GB2312"/>
                <w:sz w:val="32"/>
                <w:color w:val="000000"/>
              </w:rPr>
              <w:t>5、审核有关内部控制制度建立和执行情况。</w:t>
            </w:r>
          </w:p>
          <w:p>
            <w:pPr>
              <w:pStyle w:val="null3"/>
              <w:ind w:firstLine="640"/>
              <w:jc w:val="both"/>
            </w:pPr>
            <w:r>
              <w:rPr>
                <w:rFonts w:ascii="仿宋_GB2312" w:hAnsi="仿宋_GB2312" w:cs="仿宋_GB2312" w:eastAsia="仿宋_GB2312"/>
                <w:sz w:val="32"/>
                <w:color w:val="000000"/>
              </w:rPr>
              <w:t>6、审核建设项目经济性审计，包括项目立项、招标投标、设计、施工、监理等环节的资金、投入和工程造价控制等情况。</w:t>
            </w:r>
          </w:p>
          <w:p>
            <w:pPr>
              <w:pStyle w:val="null3"/>
              <w:ind w:firstLine="640"/>
              <w:jc w:val="both"/>
            </w:pPr>
            <w:r>
              <w:rPr>
                <w:rFonts w:ascii="仿宋_GB2312" w:hAnsi="仿宋_GB2312" w:cs="仿宋_GB2312" w:eastAsia="仿宋_GB2312"/>
                <w:sz w:val="32"/>
                <w:color w:val="000000"/>
              </w:rPr>
              <w:t>7、拟投入服务人员不得少于6人。</w:t>
            </w:r>
          </w:p>
          <w:p>
            <w:pPr>
              <w:pStyle w:val="null3"/>
              <w:ind w:firstLine="640"/>
              <w:jc w:val="both"/>
            </w:pPr>
            <w:r>
              <w:rPr>
                <w:rFonts w:ascii="仿宋_GB2312" w:hAnsi="仿宋_GB2312" w:cs="仿宋_GB2312" w:eastAsia="仿宋_GB2312"/>
                <w:sz w:val="32"/>
                <w:color w:val="000000"/>
              </w:rPr>
              <w:t>8</w:t>
            </w:r>
            <w:r>
              <w:rPr>
                <w:rFonts w:ascii="仿宋_GB2312" w:hAnsi="仿宋_GB2312" w:cs="仿宋_GB2312" w:eastAsia="仿宋_GB2312"/>
                <w:sz w:val="32"/>
                <w:color w:val="000000"/>
              </w:rPr>
              <w:t>、审核建设项目效率性审计，包括项目立项、招标投标、设计、施工、监理等环节的管理措施、组织结构、资金利用及其执行等情况。</w:t>
            </w:r>
          </w:p>
          <w:p>
            <w:pPr>
              <w:pStyle w:val="null3"/>
              <w:ind w:firstLine="640"/>
              <w:jc w:val="both"/>
            </w:pPr>
            <w:r>
              <w:rPr>
                <w:rFonts w:ascii="仿宋_GB2312" w:hAnsi="仿宋_GB2312" w:cs="仿宋_GB2312" w:eastAsia="仿宋_GB2312"/>
                <w:sz w:val="32"/>
                <w:color w:val="000000"/>
              </w:rPr>
              <w:t>9</w:t>
            </w:r>
            <w:r>
              <w:rPr>
                <w:rFonts w:ascii="仿宋_GB2312" w:hAnsi="仿宋_GB2312" w:cs="仿宋_GB2312" w:eastAsia="仿宋_GB2312"/>
                <w:sz w:val="32"/>
                <w:color w:val="000000"/>
              </w:rPr>
              <w:t>、配合审计局完成项目</w:t>
            </w:r>
            <w:r>
              <w:rPr>
                <w:rFonts w:ascii="仿宋_GB2312" w:hAnsi="仿宋_GB2312" w:cs="仿宋_GB2312" w:eastAsia="仿宋_GB2312"/>
                <w:sz w:val="32"/>
                <w:color w:val="000000"/>
              </w:rPr>
              <w:t>招投标领域突出问题检查及</w:t>
            </w:r>
            <w:r>
              <w:rPr>
                <w:rFonts w:ascii="仿宋_GB2312" w:hAnsi="仿宋_GB2312" w:cs="仿宋_GB2312" w:eastAsia="仿宋_GB2312"/>
                <w:sz w:val="32"/>
                <w:color w:val="000000"/>
              </w:rPr>
              <w:t>其他审计事项。</w:t>
            </w:r>
          </w:p>
          <w:p>
            <w:pPr>
              <w:pStyle w:val="null3"/>
              <w:ind w:firstLine="640"/>
              <w:jc w:val="both"/>
            </w:pPr>
            <w:r>
              <w:rPr>
                <w:rFonts w:ascii="仿宋_GB2312" w:hAnsi="仿宋_GB2312" w:cs="仿宋_GB2312" w:eastAsia="仿宋_GB2312"/>
                <w:sz w:val="32"/>
                <w:color w:val="000000"/>
              </w:rPr>
              <w:t>10</w:t>
            </w:r>
            <w:r>
              <w:rPr>
                <w:rFonts w:ascii="仿宋_GB2312" w:hAnsi="仿宋_GB2312" w:cs="仿宋_GB2312" w:eastAsia="仿宋_GB2312"/>
                <w:sz w:val="32"/>
                <w:color w:val="000000"/>
              </w:rPr>
              <w:t>、出具从项目开工至开始审计前实际完成的工程造价的</w:t>
            </w:r>
            <w:r>
              <w:rPr>
                <w:rFonts w:ascii="仿宋_GB2312" w:hAnsi="仿宋_GB2312" w:cs="仿宋_GB2312" w:eastAsia="仿宋_GB2312"/>
                <w:sz w:val="32"/>
                <w:color w:val="000000"/>
              </w:rPr>
              <w:t>审核</w:t>
            </w:r>
            <w:r>
              <w:rPr>
                <w:rFonts w:ascii="仿宋_GB2312" w:hAnsi="仿宋_GB2312" w:cs="仿宋_GB2312" w:eastAsia="仿宋_GB2312"/>
                <w:sz w:val="32"/>
                <w:color w:val="000000"/>
              </w:rPr>
              <w:t>报告。</w:t>
            </w:r>
          </w:p>
          <w:p>
            <w:pPr>
              <w:pStyle w:val="null3"/>
              <w:ind w:firstLine="640"/>
              <w:jc w:val="both"/>
            </w:pPr>
            <w:r>
              <w:rPr>
                <w:rFonts w:ascii="仿宋_GB2312" w:hAnsi="仿宋_GB2312" w:cs="仿宋_GB2312" w:eastAsia="仿宋_GB2312"/>
                <w:sz w:val="32"/>
              </w:rPr>
              <w:t>三、需执行的国家相关标准、行业标准、地方标准或者其他标准、规范标准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1、中国建设工程造价管理协会[2002]第015号文件《工程造价咨询单位职业行业准则》</w:t>
            </w:r>
          </w:p>
          <w:p>
            <w:pPr>
              <w:pStyle w:val="null3"/>
              <w:ind w:firstLine="640"/>
              <w:jc w:val="both"/>
            </w:pPr>
            <w:r>
              <w:rPr>
                <w:rFonts w:ascii="仿宋_GB2312" w:hAnsi="仿宋_GB2312" w:cs="仿宋_GB2312" w:eastAsia="仿宋_GB2312"/>
                <w:sz w:val="32"/>
              </w:rPr>
              <w:t>2、《造价工程师职业道德行为准则》</w:t>
            </w:r>
          </w:p>
          <w:p>
            <w:pPr>
              <w:pStyle w:val="null3"/>
              <w:ind w:firstLine="640"/>
              <w:jc w:val="both"/>
            </w:pPr>
            <w:r>
              <w:rPr>
                <w:rFonts w:ascii="仿宋_GB2312" w:hAnsi="仿宋_GB2312" w:cs="仿宋_GB2312" w:eastAsia="仿宋_GB2312"/>
                <w:sz w:val="32"/>
              </w:rPr>
              <w:t>3、[2002]第016号文件《工程造价咨询业务操作指导规程》</w:t>
            </w:r>
          </w:p>
          <w:p>
            <w:pPr>
              <w:pStyle w:val="null3"/>
              <w:ind w:firstLine="640"/>
              <w:jc w:val="both"/>
            </w:pPr>
            <w:r>
              <w:rPr>
                <w:rFonts w:ascii="仿宋_GB2312" w:hAnsi="仿宋_GB2312" w:cs="仿宋_GB2312" w:eastAsia="仿宋_GB2312"/>
                <w:sz w:val="32"/>
              </w:rPr>
              <w:t>4、国家对基建工程有关的其他法律、法规和规定。</w:t>
            </w:r>
          </w:p>
          <w:p>
            <w:pPr>
              <w:pStyle w:val="null3"/>
              <w:ind w:firstLine="640"/>
              <w:jc w:val="both"/>
            </w:pPr>
            <w:r>
              <w:rPr>
                <w:rFonts w:ascii="仿宋_GB2312" w:hAnsi="仿宋_GB2312" w:cs="仿宋_GB2312" w:eastAsia="仿宋_GB2312"/>
                <w:sz w:val="32"/>
              </w:rPr>
              <w:t>四、服务地点</w:t>
            </w:r>
            <w:r>
              <w:rPr>
                <w:rFonts w:ascii="仿宋_GB2312" w:hAnsi="仿宋_GB2312" w:cs="仿宋_GB2312" w:eastAsia="仿宋_GB2312"/>
                <w:sz w:val="32"/>
              </w:rPr>
              <w:t>:</w:t>
            </w:r>
            <w:r>
              <w:rPr>
                <w:rFonts w:ascii="仿宋_GB2312" w:hAnsi="仿宋_GB2312" w:cs="仿宋_GB2312" w:eastAsia="仿宋_GB2312"/>
                <w:sz w:val="32"/>
              </w:rPr>
              <w:t>采购人指定地点</w:t>
            </w:r>
          </w:p>
          <w:p>
            <w:pPr>
              <w:pStyle w:val="null3"/>
              <w:ind w:firstLine="640"/>
              <w:jc w:val="both"/>
            </w:pPr>
            <w:r>
              <w:rPr>
                <w:rFonts w:ascii="仿宋_GB2312" w:hAnsi="仿宋_GB2312" w:cs="仿宋_GB2312" w:eastAsia="仿宋_GB2312"/>
                <w:sz w:val="32"/>
              </w:rPr>
              <w:t>五、服务期限</w:t>
            </w:r>
            <w:r>
              <w:rPr>
                <w:rFonts w:ascii="仿宋_GB2312" w:hAnsi="仿宋_GB2312" w:cs="仿宋_GB2312" w:eastAsia="仿宋_GB2312"/>
                <w:sz w:val="32"/>
              </w:rPr>
              <w:t>:</w:t>
            </w:r>
            <w:r>
              <w:rPr>
                <w:rFonts w:ascii="仿宋_GB2312" w:hAnsi="仿宋_GB2312" w:cs="仿宋_GB2312" w:eastAsia="仿宋_GB2312"/>
                <w:sz w:val="32"/>
              </w:rPr>
              <w:t>自合同签订之日起</w:t>
            </w:r>
            <w:r>
              <w:rPr>
                <w:rFonts w:ascii="仿宋_GB2312" w:hAnsi="仿宋_GB2312" w:cs="仿宋_GB2312" w:eastAsia="仿宋_GB2312"/>
                <w:sz w:val="32"/>
              </w:rPr>
              <w:t>120</w:t>
            </w:r>
            <w:r>
              <w:rPr>
                <w:rFonts w:ascii="仿宋_GB2312" w:hAnsi="仿宋_GB2312" w:cs="仿宋_GB2312" w:eastAsia="仿宋_GB2312"/>
                <w:sz w:val="32"/>
              </w:rPr>
              <w:t>日历天</w:t>
            </w:r>
          </w:p>
          <w:p>
            <w:pPr>
              <w:pStyle w:val="null3"/>
              <w:ind w:firstLine="640"/>
              <w:jc w:val="both"/>
            </w:pPr>
            <w:r>
              <w:rPr>
                <w:rFonts w:ascii="仿宋_GB2312" w:hAnsi="仿宋_GB2312" w:cs="仿宋_GB2312" w:eastAsia="仿宋_GB2312"/>
                <w:sz w:val="32"/>
              </w:rPr>
              <w:t>说明</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1、响应报价由基本酬金和效益(成果)费两部分构成，供应商报价基本酬金部分不得超过以上给定限额，超限额报价的响应按无效响应文件处理。</w:t>
            </w:r>
          </w:p>
          <w:p>
            <w:pPr>
              <w:pStyle w:val="null3"/>
              <w:ind w:firstLine="640"/>
              <w:jc w:val="both"/>
            </w:pPr>
            <w:r>
              <w:rPr>
                <w:rFonts w:ascii="仿宋_GB2312" w:hAnsi="仿宋_GB2312" w:cs="仿宋_GB2312" w:eastAsia="仿宋_GB2312"/>
                <w:sz w:val="32"/>
              </w:rPr>
              <w:t>2、供应商本次响应报价效益(成果)费暂按以上给定的金额进行报价，不得更改，并计入总价，成交后效益(成果)费据实结算，按核减金额</w:t>
            </w:r>
            <w:r>
              <w:rPr>
                <w:rFonts w:ascii="仿宋_GB2312" w:hAnsi="仿宋_GB2312" w:cs="仿宋_GB2312" w:eastAsia="仿宋_GB2312"/>
                <w:sz w:val="32"/>
                <w:color w:val="000000"/>
              </w:rPr>
              <w:t>*</w:t>
            </w:r>
            <w:r>
              <w:rPr>
                <w:rFonts w:ascii="仿宋_GB2312" w:hAnsi="仿宋_GB2312" w:cs="仿宋_GB2312" w:eastAsia="仿宋_GB2312"/>
                <w:sz w:val="32"/>
                <w:color w:val="000000"/>
              </w:rPr>
              <w:t>1</w:t>
            </w:r>
            <w:r>
              <w:rPr>
                <w:rFonts w:ascii="仿宋_GB2312" w:hAnsi="仿宋_GB2312" w:cs="仿宋_GB2312" w:eastAsia="仿宋_GB2312"/>
                <w:sz w:val="32"/>
                <w:color w:val="000000"/>
              </w:rPr>
              <w:t>%</w:t>
            </w:r>
            <w:r>
              <w:rPr>
                <w:rFonts w:ascii="仿宋_GB2312" w:hAnsi="仿宋_GB2312" w:cs="仿宋_GB2312" w:eastAsia="仿宋_GB2312"/>
                <w:sz w:val="32"/>
              </w:rPr>
              <w:t>结算效益</w:t>
            </w:r>
            <w:r>
              <w:rPr>
                <w:rFonts w:ascii="仿宋_GB2312" w:hAnsi="仿宋_GB2312" w:cs="仿宋_GB2312" w:eastAsia="仿宋_GB2312"/>
                <w:sz w:val="32"/>
              </w:rPr>
              <w:t>(成果)费。</w:t>
            </w:r>
          </w:p>
          <w:p>
            <w:pPr>
              <w:pStyle w:val="null3"/>
              <w:ind w:firstLine="640"/>
              <w:jc w:val="both"/>
            </w:pPr>
            <w:r>
              <w:rPr>
                <w:rFonts w:ascii="仿宋_GB2312" w:hAnsi="仿宋_GB2312" w:cs="仿宋_GB2312" w:eastAsia="仿宋_GB2312"/>
                <w:sz w:val="32"/>
              </w:rPr>
              <w:t>3、基本酬金与实际结算的效益成果费总费用在采购预算范围内采购人予以支付，超出采购预算，采购人不予支付。</w:t>
            </w:r>
          </w:p>
        </w:tc>
      </w:tr>
    </w:tbl>
    <w:p>
      <w:pPr>
        <w:pStyle w:val="null3"/>
      </w:pPr>
      <w:r>
        <w:rPr>
          <w:rFonts w:ascii="仿宋_GB2312" w:hAnsi="仿宋_GB2312" w:cs="仿宋_GB2312" w:eastAsia="仿宋_GB2312"/>
        </w:rPr>
        <w:t>标的名称：效益（成果）费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rPr>
              <w:t>供应商本次响应报价效益</w:t>
            </w:r>
            <w:r>
              <w:rPr>
                <w:rFonts w:ascii="仿宋_GB2312" w:hAnsi="仿宋_GB2312" w:cs="仿宋_GB2312" w:eastAsia="仿宋_GB2312"/>
                <w:sz w:val="32"/>
              </w:rPr>
              <w:t>(成果)费暂按以上给定的金额进行报价，不得更改，并计入总价，成交后效益(成果)费据实结算，按核减金额</w:t>
            </w:r>
            <w:r>
              <w:rPr>
                <w:rFonts w:ascii="仿宋_GB2312" w:hAnsi="仿宋_GB2312" w:cs="仿宋_GB2312" w:eastAsia="仿宋_GB2312"/>
                <w:sz w:val="32"/>
                <w:color w:val="000000"/>
              </w:rPr>
              <w:t>*1%</w:t>
            </w:r>
            <w:r>
              <w:rPr>
                <w:rFonts w:ascii="仿宋_GB2312" w:hAnsi="仿宋_GB2312" w:cs="仿宋_GB2312" w:eastAsia="仿宋_GB2312"/>
                <w:sz w:val="32"/>
              </w:rPr>
              <w:t>结算效益</w:t>
            </w:r>
            <w:r>
              <w:rPr>
                <w:rFonts w:ascii="仿宋_GB2312" w:hAnsi="仿宋_GB2312" w:cs="仿宋_GB2312" w:eastAsia="仿宋_GB2312"/>
                <w:sz w:val="32"/>
              </w:rPr>
              <w:t>(成果)费。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拟投入服务人员不得少于6人，其中项目负责人1名，必须具备土建专业注册一级造价工程师资格，审计服务人员不得少于5人。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供应商需配备满足审计工作所需的电脑、打印机、复印机、扫描仪等办公设备；提供满足审计数据处理、存储的软硬件环境；严格执行保密制度，具备数据安全防护措施，确保审计资料及项目数据不泄露。</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廉洁承诺：严格遵守廉洁自律规定，不接受采购人及相关单位任何形式的回扣、宴请或好处。 2. 配合要求：全面配合采购人及相关部门开展审计工作，按时提交审计报告及工作底稿，对审计发现的问题及时整改。 3. 质量承诺：确保审计报告真实、准确、完整，对审计结论承担相应法律责任。 4. 档案管理：审计工作结束后，完整移交审计档案资料，不得私自留存或泄露。</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正式出具报告时，将剩余酬金一次性支付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 保密要求：供应商需对审计过程中获取的项目资料、财务数据、涉密信息严格保密，未经采购人书面同意，不得向任何第三方泄露，审计结束后完整移交全部资料并销毁备份。 2. 廉洁自律要求：供应商及项目人员须严格遵守政府采购廉洁从业规定，不得向采购人及相关人员赠送礼品、礼金或谋取不正当利益，违者采购人有权终止合同并追究责任。 3. 配合与沟通要求：供应商须全程配合采购人及相关部门的审计核查、资料调取、现场勘查等工作，指定专人负责日常沟通，按要求及时报送审计进度、工作底稿及阶段性成果。 4. 档案管理要求：审计工作完成后，供应商须按规定整理完整审计档案（含工作底稿、取证材料、报告初稿及终稿等），移交采购人归档，留存期限符合国家及行业相关规定。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企业法人具有有效的营业执照（具备统一社会信用代码）；事业法人应具有有效的事业单位法人证；其他组织应具有合法证明文件；自然人具有身份证明文件.2、提供2025年6月1日至今已依法缴纳任意一个月的税收和社会保障资金相关资金，未提供税收证明需提供税务机关开具《无欠税证明》；依法不需要缴纳社会保障资金的应提供相关证明材料；3、提供具有履行合同所必须的设备和专业技术能力的承诺函；4、参加政府采购活动前三年内在经营活动中没有重大违法记录的书面声明。供应商需在项目电子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须提供2024年度的财务报表或具有财务审计资质单位出具的2024年度财务报告或其基本存款账户开户行出具的资质证明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拟派项目负责人必须具备土建专业注册一级造价工程师资格，且在本单位注册。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型企业、小型企业、微型企业的，提供《中小企业声明函》，且中小企业的划分标准所属行业为其他未列明行业（科学研究和技术服务业）；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本项目磋商，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服务方案响应完整性</w:t>
            </w:r>
          </w:p>
        </w:tc>
        <w:tc>
          <w:tcPr>
            <w:tcW w:type="dxa" w:w="3322"/>
          </w:tcPr>
          <w:p>
            <w:pPr>
              <w:pStyle w:val="null3"/>
            </w:pPr>
            <w:r>
              <w:rPr>
                <w:rFonts w:ascii="仿宋_GB2312" w:hAnsi="仿宋_GB2312" w:cs="仿宋_GB2312" w:eastAsia="仿宋_GB2312"/>
              </w:rPr>
              <w:t>供应商需提交完整的竣工决算审计服务方案，包含人员配置、实施计划、质量控制、保密措施等内容，需全面覆盖采购需求，未实质性响应核心需求的，视为符合性审查不通过。</w:t>
            </w:r>
          </w:p>
        </w:tc>
        <w:tc>
          <w:tcPr>
            <w:tcW w:type="dxa" w:w="1661"/>
          </w:tcPr>
          <w:p>
            <w:pPr>
              <w:pStyle w:val="null3"/>
            </w:pPr>
            <w:r>
              <w:rPr>
                <w:rFonts w:ascii="仿宋_GB2312" w:hAnsi="仿宋_GB2312" w:cs="仿宋_GB2312" w:eastAsia="仿宋_GB2312"/>
              </w:rPr>
              <w:t>响应文件封面 服务内容及服务邀请应答表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针对本标段详细列出竣工财务决算审计服务总体方案，方案包括：①审计服务总体设想②服务计划③重难点分析。 二、评审标准 1、完整性：方案必须全面，对评审内容中的各项要求有详细描述； 2、可实施性：切合本标段实际情况，提出步骤清晰、合理的方案； 3、针对性：方案能够紧扣标段实际情况，内容科学合理。 三、赋分标准（满分5分） ①审计服务总体设想：每完全满足一个评审标准得 1 分，满分2 分； ②服务计划:每完全满足一个评审标准得1分，满分 2分； ③重难点分析:每完全满足一个评审标准得 1分，满分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竣工审计实施方案</w:t>
            </w:r>
          </w:p>
        </w:tc>
        <w:tc>
          <w:tcPr>
            <w:tcW w:type="dxa" w:w="2492"/>
          </w:tcPr>
          <w:p>
            <w:pPr>
              <w:pStyle w:val="null3"/>
            </w:pPr>
            <w:r>
              <w:rPr>
                <w:rFonts w:ascii="仿宋_GB2312" w:hAnsi="仿宋_GB2312" w:cs="仿宋_GB2312" w:eastAsia="仿宋_GB2312"/>
              </w:rPr>
              <w:t>一、评审内容 针对本标段详细列出竣工审计实施方案，方案包括：①审计范围②审计内容③审计步骤和程序④审计工作目标。 二、评审标准 1、完整性：方案必须全面，对评审内容中的各项要求有详细描述； 2、可实施性：切合本标段实际情况，提出步骤清晰、合理的方案； 3、针对性：方案能够紧扣标段实际情况，内容科学合理。 三、赋分标准（满分 7分） ①审计范围：每完全满足一个评审标准得 0.5 分，满分1.5 分； ②审计内容:每完全满足一个评审标准得 1分，满分2分； ③审计步骤和程序:每完全满足一个评审标准得0.5分，满分2分； ④审计工作目标:每完全满足一个评审标准得 0.5 分，满分 1.5分。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业务政策解读</w:t>
            </w:r>
          </w:p>
        </w:tc>
        <w:tc>
          <w:tcPr>
            <w:tcW w:type="dxa" w:w="2492"/>
          </w:tcPr>
          <w:p>
            <w:pPr>
              <w:pStyle w:val="null3"/>
            </w:pPr>
            <w:r>
              <w:rPr>
                <w:rFonts w:ascii="仿宋_GB2312" w:hAnsi="仿宋_GB2312" w:cs="仿宋_GB2312" w:eastAsia="仿宋_GB2312"/>
              </w:rPr>
              <w:t>一、评审内容 针对本标段，供应商提供对竣工审计业务的相关法律、法规依据的解读。 二、评审标准 1、完整性：方案必须全面，对评审内容中的各项要求有详细描述； 2、可实施性：切合本标段实际情况，提出步骤清晰、合理的方案； 3、针对性：方案能够紧扣标段实际情况，内容科学合理。 三、赋分标准（满分 3 分） 竣工审计业务的相关法律、法规依据的解读：每完全满足一个评审标准得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一、评审内容 针对本标段提出质量方案，方案包含：①质量控制方案②质量保证措施。 二、评审标准 1、完整性：方案必须全面，对评审内容中的各项要求有详细描述； 2、可实施性：切合本标段实际情况，提出步骤清晰、合理的方案； 3、针对性：方案能够紧扣标段实际情况，内容科学合理。 三、赋分标准（满分 5 分） ①质量控制方案：每完全满足一个评审标准得1分，满分3分； ②质量保证措施:每完全满足一个评审标准得1分，满分2分。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一、评审内容 针对本标段提出风险防控方案，方案包括：①风险防控制度②风险防范措施③廉洁从业措施。 二、评审标准 1、完整性：方案必须全面，对评审内容中的各项要求有详细描述； 2、可实施性：切合本标段实际情况，提出步骤清晰、合理的方案； 3、针对性：方案能够紧扣标段实际情况，内容科学合理。 三、赋分标准（满分5分） ①风险防控制度：每完全满足一个评审标准得 1分，满分2分； ②风险防范措施：每完全满足一个评审标准得 1 分，满分2 分； ③廉洁从业措施:每完全满足一个评审标准得 1 分，满分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针对本标段制定保密方案，方案包括：①保密管理制度②保密协议③特殊人员的保密措施。 二、评审标准 1、完整性：方案必须全面，对评审内容中的各项要求有详细描述； 2、可实施性：切合本标段实际情况，提出步骤清晰、合理的方案； 3、针对性：方案能够紧扣标段实际情况，内容科学合理。 三、赋分标准（满分5分） ①保密管理制度：每完全满足一个评审标准得 1分，满分3分； ②保密协议：每完全满足一个评审标准得 0.5 分，满分 1 分； ③特殊人员的保密措施:每完全满足一个评审标准得 0.5 分，满分 1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针对在审计工作可能遇到的紧急或意外情况，制定应急处置方案，方案包括：①因特殊紧急情况审计时限响应方案②其他特 殊情况的应急服务方案及补救措施。 二、评审标准 1、完整性：方案必须全面，对评审内容中的各项要求有详细描述； 2、可实施性：切合本标段实际情况，提出步骤清晰、合理的方案； 3、针对性：方案能够紧扣标段实际情况，内容科学合理。 三、赋分标准（满分 5 分） ①因特殊紧急情况审计时限响应方案：每完全满足一个评审标准得1分，满分3分； ②其他特殊情况的应急服务方案及补救措施：每完全满足一个评审标准得1分，满分2分。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反馈机制</w:t>
            </w:r>
          </w:p>
        </w:tc>
        <w:tc>
          <w:tcPr>
            <w:tcW w:type="dxa" w:w="2492"/>
          </w:tcPr>
          <w:p>
            <w:pPr>
              <w:pStyle w:val="null3"/>
            </w:pPr>
            <w:r>
              <w:rPr>
                <w:rFonts w:ascii="仿宋_GB2312" w:hAnsi="仿宋_GB2312" w:cs="仿宋_GB2312" w:eastAsia="仿宋_GB2312"/>
              </w:rPr>
              <w:t>一、评审内容 针对本标段提供反馈机制，包括：①突发事件处理：针对处理突发事项，分析工作开展中存在的问题，并及时向采购人提 出意见和建议②常见问题处理：针对服务工作中的常见问题进行梳理，具有的良好的解决方案并及时向采购人建议。 二、评审标准 1、完整性：方案必须全面，对评审内容中的各项要求有详细描述； 2、可实施性：切合本标段实际情况，提出步骤清晰、合理的方案。 3、针对性：方案能够紧扣标段实际情况，内容科学合理。 三、赋分标准（满分 5 分） ①突发事件处理：每完全满足一个评审标准得1分，满分3分； ②常见问题处理：每完全满足一个评审标准得1分，满分2分。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根据本标段特点制定档案管理方案，方案包括：①档案资料的收集及分类②档案资料的保存及移交。 二、评审标准 1、完整性：方案必须全面，对评审内容中的各项要求有详细描述； 2、可实施性：切合本标段实际情况，提出步骤清晰、合理的方案； 3、针对性：方案能够紧扣标段实际情况，内容科学合理。 三、赋分标准（满分5 分） ①档案资料的收集及分类：每完全满足一个评审标准得 1 分，满分 3 分； ②档案资料的保存及移交:每完全满足一个评审标准得 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1、项目负责人具有3年及以上审计管理经验，得5分；3年以下（不含3年），得2分。 赋分依据：以注册证书初始注册时间为准，不提供不得分。 2、项目负责人具备工程类专业本科及以上学历，得5分；专科学历得2分。 赋分依据：提供项目负责人学历证书，不提供不得分。 3、项目负责人自2022年1月1日至今作为项目负责人承担完成过类似项目预算或结算的审核工作，提供一项得2.5分，最高得 5 分。 赋分依据：提供项目负责人业绩证明材料，不提供不得分。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除拟派项目负责人以外每增加一名一级注册造价工程师（土建或安装专业）得1分，满分5分。 赋分依据：提供拟派人员相对应的证书复印，不提供不得分。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造价软件工具</w:t>
            </w:r>
          </w:p>
        </w:tc>
        <w:tc>
          <w:tcPr>
            <w:tcW w:type="dxa" w:w="2492"/>
          </w:tcPr>
          <w:p>
            <w:pPr>
              <w:pStyle w:val="null3"/>
            </w:pPr>
            <w:r>
              <w:rPr>
                <w:rFonts w:ascii="仿宋_GB2312" w:hAnsi="仿宋_GB2312" w:cs="仿宋_GB2312" w:eastAsia="仿宋_GB2312"/>
              </w:rPr>
              <w:t>供应商具有相关专业应用软件，每提供一个得2.5分，满分5分。 赋分依据：需提供有效证明材料合同或发票，不提供不得分。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提供公司自2022年1月1日至今承担完成过类似项目预算或结算的审核工作，提供一项得2.5分，最高得 10 分。 赋分依据：提供业绩证明材料，不提供不得分。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1.承诺：接受采购人对服务的考核、监督及管理，定期调研采购人对服务质量的满意度并加以改进，确保服务工作的优质高效，得2分。 2.供应商可根据自身情况提供其他利于本项目开展的承诺，每提供1条，得1分，满分3分。 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2.满足磋商文件实质性要求且最终报价最低的供应商的价格为磋商基准价，其价格分为满分15分。 3.磋商报价得分=（磋商基准价/最终磋商报价）×15的公式计算得分。 4. 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