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版本号：SXHY-2026-00720260415002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黄河流域金水河合阳县经开区段水污染综合治理项目设计采购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SXHY-2026-007</w:t>
      </w:r>
      <w:r>
        <w:br/>
      </w:r>
      <w:r>
        <w:br/>
      </w:r>
      <w:r>
        <w:br/>
      </w:r>
    </w:p>
    <w:p>
      <w:pPr>
        <w:pStyle w:val="null3"/>
        <w:jc w:val="center"/>
        <w:outlineLvl w:val="2"/>
      </w:pPr>
      <w:r>
        <w:rPr>
          <w:rFonts w:ascii="仿宋_GB2312" w:hAnsi="仿宋_GB2312" w:cs="仿宋_GB2312" w:eastAsia="仿宋_GB2312"/>
          <w:sz w:val="28"/>
          <w:b/>
        </w:rPr>
        <w:t>合阳县住房和城乡建设局</w:t>
      </w:r>
    </w:p>
    <w:p>
      <w:pPr>
        <w:pStyle w:val="null3"/>
        <w:jc w:val="center"/>
        <w:outlineLvl w:val="2"/>
      </w:pPr>
      <w:r>
        <w:rPr>
          <w:rFonts w:ascii="仿宋_GB2312" w:hAnsi="仿宋_GB2312" w:cs="仿宋_GB2312" w:eastAsia="仿宋_GB2312"/>
          <w:sz w:val="28"/>
          <w:b/>
        </w:rPr>
        <w:t>陕西浩优项目管理有限公司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陕西浩优项目管理有限公司</w:t>
      </w:r>
      <w:r>
        <w:rPr>
          <w:rFonts w:ascii="仿宋_GB2312" w:hAnsi="仿宋_GB2312" w:cs="仿宋_GB2312" w:eastAsia="仿宋_GB2312"/>
        </w:rPr>
        <w:t>（以下简称“代理机构”）受</w:t>
      </w:r>
      <w:r>
        <w:rPr>
          <w:rFonts w:ascii="仿宋_GB2312" w:hAnsi="仿宋_GB2312" w:cs="仿宋_GB2312" w:eastAsia="仿宋_GB2312"/>
        </w:rPr>
        <w:t>合阳县住房和城乡建设局</w:t>
      </w:r>
      <w:r>
        <w:rPr>
          <w:rFonts w:ascii="仿宋_GB2312" w:hAnsi="仿宋_GB2312" w:cs="仿宋_GB2312" w:eastAsia="仿宋_GB2312"/>
        </w:rPr>
        <w:t>委托，拟对</w:t>
      </w:r>
      <w:r>
        <w:rPr>
          <w:rFonts w:ascii="仿宋_GB2312" w:hAnsi="仿宋_GB2312" w:cs="仿宋_GB2312" w:eastAsia="仿宋_GB2312"/>
        </w:rPr>
        <w:t>黄河流域金水河合阳县经开区段水污染综合治理项目设计采购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SXHY-2026-007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黄河流域金水河合阳县经开区段水污染综合治理项目设计采购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为加快推进我县基础设施建设，改善城乡生态环境，解决当前污水收集处理短板问题，保障群众生产生活质量。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参加磋商的，提供法定代表人身份证明书（附法定代表人身份证复印件)；法定代表人授权他人参加磋商的，提供法定代表人授权委托书（附法定代表人身份证复印件及被授权人身份证复印件)；</w:t>
      </w:r>
    </w:p>
    <w:p>
      <w:pPr>
        <w:pStyle w:val="null3"/>
      </w:pPr>
      <w:r>
        <w:rPr>
          <w:rFonts w:ascii="仿宋_GB2312" w:hAnsi="仿宋_GB2312" w:cs="仿宋_GB2312" w:eastAsia="仿宋_GB2312"/>
        </w:rPr>
        <w:t>2、供应商资质要求：供应商需具备【工程设计综合资质甲级】或【市政行业工程设计乙级】及以上或【市政行业(排水工程)专业设计乙级】及以上；</w:t>
      </w:r>
    </w:p>
    <w:p>
      <w:pPr>
        <w:pStyle w:val="null3"/>
      </w:pPr>
      <w:r>
        <w:rPr>
          <w:rFonts w:ascii="仿宋_GB2312" w:hAnsi="仿宋_GB2312" w:cs="仿宋_GB2312" w:eastAsia="仿宋_GB2312"/>
        </w:rPr>
        <w:t>3、项目负责人要求：项目负责人需具备【注册公用设备工程师（给水排水）】及以上,或市政工程相关专业高级工程师及以上职称;</w:t>
      </w:r>
    </w:p>
    <w:p>
      <w:pPr>
        <w:pStyle w:val="null3"/>
      </w:pPr>
      <w:r>
        <w:rPr>
          <w:rFonts w:ascii="仿宋_GB2312" w:hAnsi="仿宋_GB2312" w:cs="仿宋_GB2312" w:eastAsia="仿宋_GB2312"/>
        </w:rPr>
        <w:t>4、信誉截图：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5、不接受联合体：本项目不接受联合体磋商。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陕西省渭南市合阳县凤凰西街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雷增孝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15619686555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陕西浩优项目管理有限公司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陕西省西安市曲江新区商通大道6号智慧大厦一幢203室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李金娥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029-89553153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成文强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13409130025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收取。2.采购代理服务费收取：户名：陕西浩优项目管理有限公司 开户银行：中国建设银行股份有限公司西安曲江支行 账号：6105 0191 0004 0000 4479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合阳县住房和城乡建设局</w:t>
      </w:r>
      <w:r>
        <w:rPr>
          <w:rFonts w:ascii="仿宋_GB2312" w:hAnsi="仿宋_GB2312" w:cs="仿宋_GB2312" w:eastAsia="仿宋_GB2312"/>
        </w:rPr>
        <w:t>和</w:t>
      </w:r>
      <w:r>
        <w:rPr>
          <w:rFonts w:ascii="仿宋_GB2312" w:hAnsi="仿宋_GB2312" w:cs="仿宋_GB2312" w:eastAsia="仿宋_GB2312"/>
        </w:rPr>
        <w:t>陕西浩优项目管理有限公司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陕西浩优项目管理有限公司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陕西浩优项目管理有限公司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联系人：李金娥</w:t>
      </w:r>
    </w:p>
    <w:p>
      <w:pPr>
        <w:pStyle w:val="null3"/>
      </w:pPr>
      <w:r>
        <w:rPr>
          <w:rFonts w:ascii="仿宋_GB2312" w:hAnsi="仿宋_GB2312" w:cs="仿宋_GB2312" w:eastAsia="仿宋_GB2312"/>
        </w:rPr>
        <w:t>联系电话：029-89553153</w:t>
      </w:r>
    </w:p>
    <w:p>
      <w:pPr>
        <w:pStyle w:val="null3"/>
      </w:pPr>
      <w:r>
        <w:rPr>
          <w:rFonts w:ascii="仿宋_GB2312" w:hAnsi="仿宋_GB2312" w:cs="仿宋_GB2312" w:eastAsia="仿宋_GB2312"/>
        </w:rPr>
        <w:t>地址：陕西省西安市曲江新区商通大道6号智慧大厦一幢203室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为加快推进我县基础设施建设，改善城乡生态环境，解决当前污水收集处理短板问题，保障群众生产生活质量。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黄河流域金水河合阳县经开区段水污染综合治理项目设计采购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标的名称：黄河流域金水河合阳县经开区段水污染综合治理项目设计采购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spacing w:before="105" w:after="105"/>
              <w:ind w:firstLine="480"/>
              <w:jc w:val="both"/>
            </w:pPr>
            <w:r>
              <w:rPr>
                <w:rFonts w:ascii="仿宋_GB2312" w:hAnsi="仿宋_GB2312" w:cs="仿宋_GB2312" w:eastAsia="仿宋_GB2312"/>
                <w:sz w:val="24"/>
              </w:rPr>
              <w:t>1、项目建设地点：合阳县金水河支沟梨树沟段。</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项目建设规模及主要内容：本项目主要建设内容为经开区污水收集工程和污水排口整治工程，具体建设内容和规模如下</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经开区污水收集工程。采取浅埋方式，收集经开区范围内污水，为穿越煤炭采空区</w:t>
            </w:r>
            <w:r>
              <w:rPr>
                <w:rFonts w:ascii="仿宋_GB2312" w:hAnsi="仿宋_GB2312" w:cs="仿宋_GB2312" w:eastAsia="仿宋_GB2312"/>
                <w:sz w:val="24"/>
              </w:rPr>
              <w:t>，</w:t>
            </w:r>
            <w:r>
              <w:rPr>
                <w:rFonts w:ascii="仿宋_GB2312" w:hAnsi="仿宋_GB2312" w:cs="仿宋_GB2312" w:eastAsia="仿宋_GB2312"/>
                <w:sz w:val="24"/>
              </w:rPr>
              <w:t>新建连接污水处理厂收集主管</w:t>
            </w:r>
            <w:r>
              <w:rPr>
                <w:rFonts w:ascii="仿宋_GB2312" w:hAnsi="仿宋_GB2312" w:cs="仿宋_GB2312" w:eastAsia="仿宋_GB2312"/>
                <w:sz w:val="24"/>
              </w:rPr>
              <w:t>DN800球墨铸铁管3</w:t>
            </w:r>
            <w:r>
              <w:rPr>
                <w:rFonts w:ascii="仿宋_GB2312" w:hAnsi="仿宋_GB2312" w:cs="仿宋_GB2312" w:eastAsia="仿宋_GB2312"/>
                <w:sz w:val="24"/>
              </w:rPr>
              <w:t>.</w:t>
            </w:r>
            <w:r>
              <w:rPr>
                <w:rFonts w:ascii="仿宋_GB2312" w:hAnsi="仿宋_GB2312" w:cs="仿宋_GB2312" w:eastAsia="仿宋_GB2312"/>
                <w:sz w:val="24"/>
              </w:rPr>
              <w:t>5km</w:t>
            </w:r>
            <w:r>
              <w:rPr>
                <w:rFonts w:ascii="仿宋_GB2312" w:hAnsi="仿宋_GB2312" w:cs="仿宋_GB2312" w:eastAsia="仿宋_GB2312"/>
                <w:sz w:val="24"/>
              </w:rPr>
              <w:t>，</w:t>
            </w:r>
            <w:r>
              <w:rPr>
                <w:rFonts w:ascii="仿宋_GB2312" w:hAnsi="仿宋_GB2312" w:cs="仿宋_GB2312" w:eastAsia="仿宋_GB2312"/>
                <w:sz w:val="24"/>
              </w:rPr>
              <w:t>配套建设污水检查井</w:t>
            </w:r>
            <w:r>
              <w:rPr>
                <w:rFonts w:ascii="仿宋_GB2312" w:hAnsi="仿宋_GB2312" w:cs="仿宋_GB2312" w:eastAsia="仿宋_GB2312"/>
                <w:sz w:val="24"/>
              </w:rPr>
              <w:t>35座。</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污水排口整治工程。针对第一污水处理厂及第二污水处理厂排口下游水质安全问题，利用生态净化技术对梨树沟污水排口下游进行水生态综合整治，利用水生植物配合基质构建表流人工湿地对水质进行进一步净化</w:t>
            </w:r>
            <w:r>
              <w:rPr>
                <w:rFonts w:ascii="仿宋_GB2312" w:hAnsi="仿宋_GB2312" w:cs="仿宋_GB2312" w:eastAsia="仿宋_GB2312"/>
                <w:sz w:val="24"/>
              </w:rPr>
              <w:t>7500</w:t>
            </w:r>
            <w:r>
              <w:rPr>
                <w:rFonts w:ascii="仿宋_GB2312" w:hAnsi="仿宋_GB2312" w:cs="仿宋_GB2312" w:eastAsia="仿宋_GB2312"/>
                <w:sz w:val="24"/>
              </w:rPr>
              <w:t>㎡</w:t>
            </w:r>
            <w:r>
              <w:rPr>
                <w:rFonts w:ascii="仿宋_GB2312" w:hAnsi="仿宋_GB2312" w:cs="仿宋_GB2312" w:eastAsia="仿宋_GB2312"/>
                <w:sz w:val="24"/>
              </w:rPr>
              <w:t>。种植前根据植物生长需要对调蓄河道底泥进行清理和处置，底泥总量约</w:t>
            </w:r>
            <w:r>
              <w:rPr>
                <w:rFonts w:ascii="仿宋_GB2312" w:hAnsi="仿宋_GB2312" w:cs="仿宋_GB2312" w:eastAsia="仿宋_GB2312"/>
                <w:sz w:val="24"/>
              </w:rPr>
              <w:t>7500</w:t>
            </w:r>
            <w:r>
              <w:rPr>
                <w:rFonts w:ascii="仿宋_GB2312" w:hAnsi="仿宋_GB2312" w:cs="仿宋_GB2312" w:eastAsia="仿宋_GB2312"/>
                <w:sz w:val="24"/>
              </w:rPr>
              <w:t>m³</w:t>
            </w:r>
            <w:r>
              <w:rPr>
                <w:rFonts w:ascii="仿宋_GB2312" w:hAnsi="仿宋_GB2312" w:cs="仿宋_GB2312" w:eastAsia="仿宋_GB2312"/>
                <w:sz w:val="24"/>
              </w:rPr>
              <w:t>向蓄水池投加高效微生物菌剂，强化有机污染物降解和氮磷转化。在主槽布设碳纤维仿生水草，促进微生物附着生长，形成生物膜，提高污染降解</w:t>
            </w:r>
            <w:r>
              <w:rPr>
                <w:rFonts w:ascii="仿宋_GB2312" w:hAnsi="仿宋_GB2312" w:cs="仿宋_GB2312" w:eastAsia="仿宋_GB2312"/>
                <w:sz w:val="24"/>
              </w:rPr>
              <w:t>。</w:t>
            </w:r>
          </w:p>
          <w:p>
            <w:pPr>
              <w:pStyle w:val="null3"/>
              <w:spacing w:before="105" w:after="105"/>
              <w:ind w:firstLine="480"/>
              <w:jc w:val="both"/>
            </w:pPr>
            <w:r>
              <w:rPr>
                <w:rFonts w:ascii="仿宋_GB2312" w:hAnsi="仿宋_GB2312" w:cs="仿宋_GB2312" w:eastAsia="仿宋_GB2312"/>
                <w:sz w:val="24"/>
              </w:rPr>
              <w:t>3、项目建设周期：12个月</w:t>
            </w:r>
          </w:p>
          <w:p>
            <w:pPr>
              <w:pStyle w:val="null3"/>
              <w:spacing w:before="105" w:after="105"/>
              <w:jc w:val="both"/>
            </w:pPr>
            <w:r>
              <w:rPr>
                <w:rFonts w:ascii="仿宋_GB2312" w:hAnsi="仿宋_GB2312" w:cs="仿宋_GB2312" w:eastAsia="仿宋_GB2312"/>
                <w:sz w:val="24"/>
                <w:b/>
              </w:rPr>
              <w:t>二、服务内容及要求：</w:t>
            </w:r>
            <w:r>
              <w:rPr>
                <w:rFonts w:ascii="仿宋_GB2312" w:hAnsi="仿宋_GB2312" w:cs="仿宋_GB2312" w:eastAsia="仿宋_GB2312"/>
                <w:sz w:val="24"/>
              </w:rPr>
              <w:t>针对本次项目概况中的内容进行施工图设计，提供施工图设计文件。施工图设计是根据已批准的初步设计编制的可供进行施工和安装的设计文件。施工图设计内容以图纸为主，应包括封面、图纸目录、设计说明（或首页）、图纸等。设计文件要求齐全、完整，内容、深度应符合规定，文字说明、图纸要准确清晰，整个设计文件应经过严格的校审，经各级设计人员签字后，方能提出。施工图设计文件的深度应满足以下要求：</w:t>
            </w:r>
          </w:p>
          <w:p>
            <w:pPr>
              <w:pStyle w:val="null3"/>
              <w:spacing w:before="105" w:after="105"/>
              <w:ind w:firstLine="480"/>
              <w:jc w:val="both"/>
            </w:pPr>
            <w:r>
              <w:rPr>
                <w:rFonts w:ascii="仿宋_GB2312" w:hAnsi="仿宋_GB2312" w:cs="仿宋_GB2312" w:eastAsia="仿宋_GB2312"/>
                <w:sz w:val="24"/>
              </w:rPr>
              <w:t>1、能据以编制施工图预算；</w:t>
            </w:r>
          </w:p>
          <w:p>
            <w:pPr>
              <w:pStyle w:val="null3"/>
              <w:spacing w:before="105" w:after="105"/>
              <w:ind w:firstLine="480"/>
              <w:jc w:val="both"/>
            </w:pPr>
            <w:r>
              <w:rPr>
                <w:rFonts w:ascii="仿宋_GB2312" w:hAnsi="仿宋_GB2312" w:cs="仿宋_GB2312" w:eastAsia="仿宋_GB2312"/>
                <w:sz w:val="24"/>
              </w:rPr>
              <w:t>2、能据以进行施工和安装；</w:t>
            </w:r>
          </w:p>
          <w:p>
            <w:pPr>
              <w:pStyle w:val="null3"/>
              <w:spacing w:before="105" w:after="105"/>
              <w:ind w:firstLine="480"/>
              <w:jc w:val="both"/>
            </w:pPr>
            <w:r>
              <w:rPr>
                <w:rFonts w:ascii="仿宋_GB2312" w:hAnsi="仿宋_GB2312" w:cs="仿宋_GB2312" w:eastAsia="仿宋_GB2312"/>
                <w:sz w:val="24"/>
              </w:rPr>
              <w:t>3、能据以进行工程验收。</w:t>
            </w:r>
          </w:p>
          <w:p>
            <w:pPr>
              <w:pStyle w:val="null3"/>
              <w:spacing w:before="105" w:after="105"/>
              <w:jc w:val="both"/>
            </w:pPr>
            <w:r>
              <w:rPr>
                <w:rFonts w:ascii="仿宋_GB2312" w:hAnsi="仿宋_GB2312" w:cs="仿宋_GB2312" w:eastAsia="仿宋_GB2312"/>
                <w:sz w:val="24"/>
                <w:b/>
              </w:rPr>
              <w:t>三、设计服务期限：</w:t>
            </w:r>
            <w:r>
              <w:rPr>
                <w:rFonts w:ascii="仿宋_GB2312" w:hAnsi="仿宋_GB2312" w:cs="仿宋_GB2312" w:eastAsia="仿宋_GB2312"/>
                <w:sz w:val="24"/>
              </w:rPr>
              <w:t>自签订合同之日起至本工程竣工验收合格止。</w:t>
            </w:r>
          </w:p>
          <w:p>
            <w:pPr>
              <w:pStyle w:val="null3"/>
              <w:spacing w:before="105" w:after="105"/>
              <w:jc w:val="both"/>
            </w:pPr>
            <w:r>
              <w:rPr>
                <w:rFonts w:ascii="仿宋_GB2312" w:hAnsi="仿宋_GB2312" w:cs="仿宋_GB2312" w:eastAsia="仿宋_GB2312"/>
                <w:sz w:val="24"/>
                <w:b/>
              </w:rPr>
              <w:t>四、设计周期：</w:t>
            </w:r>
            <w:r>
              <w:rPr>
                <w:rFonts w:ascii="仿宋_GB2312" w:hAnsi="仿宋_GB2312" w:cs="仿宋_GB2312" w:eastAsia="仿宋_GB2312"/>
                <w:sz w:val="24"/>
              </w:rPr>
              <w:t>30日历天。</w:t>
            </w:r>
          </w:p>
          <w:p>
            <w:pPr>
              <w:pStyle w:val="null3"/>
              <w:spacing w:before="105" w:after="105"/>
              <w:jc w:val="both"/>
            </w:pPr>
            <w:r>
              <w:rPr>
                <w:rFonts w:ascii="仿宋_GB2312" w:hAnsi="仿宋_GB2312" w:cs="仿宋_GB2312" w:eastAsia="仿宋_GB2312"/>
                <w:sz w:val="24"/>
                <w:b/>
              </w:rPr>
              <w:t>五、服务地点：</w:t>
            </w:r>
            <w:r>
              <w:rPr>
                <w:rFonts w:ascii="仿宋_GB2312" w:hAnsi="仿宋_GB2312" w:cs="仿宋_GB2312" w:eastAsia="仿宋_GB2312"/>
                <w:sz w:val="24"/>
              </w:rPr>
              <w:t>采购人指定地点</w:t>
            </w:r>
          </w:p>
          <w:p>
            <w:pPr>
              <w:pStyle w:val="null3"/>
              <w:spacing w:before="105" w:after="105"/>
              <w:jc w:val="both"/>
            </w:pPr>
            <w:r>
              <w:rPr>
                <w:rFonts w:ascii="仿宋_GB2312" w:hAnsi="仿宋_GB2312" w:cs="仿宋_GB2312" w:eastAsia="仿宋_GB2312"/>
                <w:sz w:val="24"/>
                <w:b/>
              </w:rPr>
              <w:t>六、服务要求</w:t>
            </w:r>
          </w:p>
          <w:p>
            <w:pPr>
              <w:pStyle w:val="null3"/>
              <w:spacing w:before="105" w:after="105"/>
              <w:ind w:firstLine="480"/>
              <w:jc w:val="both"/>
            </w:pPr>
            <w:r>
              <w:rPr>
                <w:rFonts w:ascii="仿宋_GB2312" w:hAnsi="仿宋_GB2312" w:cs="仿宋_GB2312" w:eastAsia="仿宋_GB2312"/>
                <w:sz w:val="24"/>
              </w:rPr>
              <w:t>符合国家、行业及陕西省有关的法律、法规、规程，同时必须满足国家行业在环保、消防、劳保、安全、卫生、土地、水资源等各方面的强制性规定。</w:t>
            </w:r>
          </w:p>
          <w:p>
            <w:pPr>
              <w:pStyle w:val="null3"/>
              <w:spacing w:before="105" w:after="105"/>
              <w:jc w:val="both"/>
            </w:pPr>
            <w:r>
              <w:rPr>
                <w:rFonts w:ascii="仿宋_GB2312" w:hAnsi="仿宋_GB2312" w:cs="仿宋_GB2312" w:eastAsia="仿宋_GB2312"/>
                <w:sz w:val="24"/>
                <w:b/>
              </w:rPr>
              <w:t>七、成果文件要求：</w:t>
            </w:r>
            <w:r>
              <w:rPr>
                <w:rFonts w:ascii="仿宋_GB2312" w:hAnsi="仿宋_GB2312" w:cs="仿宋_GB2312" w:eastAsia="仿宋_GB2312"/>
                <w:sz w:val="24"/>
              </w:rPr>
              <w:t>根据采购人要求提供。</w:t>
            </w:r>
          </w:p>
          <w:p>
            <w:pPr>
              <w:pStyle w:val="null3"/>
              <w:ind w:firstLine="482"/>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详见磋商文件相关内容。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详见磋商文件相关内容。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详见磋商文件相关内容。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自签订合同之日起至本工程竣工验收合格止。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本合同签订生效后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设计人完成图纸交付后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竣工验收结束后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须在结果公告发布之日起5个工作日内，提交响应文件一正一副（建议正反面打印）至陕西省西安市曲江新区商通大道6号智慧大厦一幢203室（陕西浩优项目管理有限公司）；联系人：李金娥；联系电话：029-89553153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税收缴纳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3、社会保障资金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4、提供具有履行合同所必需的设备和专业技术能力的承诺；5、参加政府采购活动前3年内在经营活动中没有重大违法记录的书面声明；6、具备法律、行政法规规定的其他条件(由供应商根据项目需求提供说明材料或者承诺)；（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财务状况：提供2024年度经审计的财务报告（成立时间至提交投标文件截止时间不足一年的可提供成立后任意时段的资产负债表、利润表），或提交开标前六个月内银行出具的资信证明，或信用担保机构出具的投标担保函，或承诺书（以上四种形式的资料提供任何一种即可）；其他组织和自然人提供银行出具的资信证明或财务报表或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法定代表人参加磋商的，提供法定代表人身份证明书（附法定代表人身份证复印件)；法定代表人授权他人参加磋商的，提供法定代表人授权委托书（附法定代表人身份证复印件及被授权人身份证复印件)；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供应商需具备【工程设计综合资质甲级】或【市政行业工程设计乙级】及以上或【市政行业(排水工程)专业设计乙级】及以上；</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项目负责人需具备【注册公用设备工程师（给水排水）】及以上,或市政工程相关专业高级工程师及以上职称;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磋商一览表-修改.docx 反商业贿赂承诺函.docx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磋商响应文件格式、语言、计量单 位、报价货币</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商务应答表 标的清单 报价表 磋商一览表-修改.docx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响应文件封面 供应商认为需要提交的其他资料.docx 反商业贿赂承诺函.docx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项目背景和政策研究</w:t>
            </w:r>
          </w:p>
        </w:tc>
        <w:tc>
          <w:tcPr>
            <w:tcW w:type="dxa" w:w="2492"/>
          </w:tcPr>
          <w:p>
            <w:pPr>
              <w:pStyle w:val="null3"/>
            </w:pPr>
            <w:r>
              <w:rPr>
                <w:rFonts w:ascii="仿宋_GB2312" w:hAnsi="仿宋_GB2312" w:cs="仿宋_GB2312" w:eastAsia="仿宋_GB2312"/>
              </w:rPr>
              <w:t>提供针对本项目的项目背景和政策研究，包括①项目背景分析；②前期项目资料收集；③针对本项目政策的研究等。 一、评审标准：1.完整性：项目背景和政策研究分析全面具体，对本项目重点、难点把控明确，有详细描述及说明；2.可实施性：切合本项目实际情况，实施步骤清晰、合理；3.针对性：项目背景和政策研究能够紧扣项目实际情况，内容科学合理。 二、赋分标准： 1.以上内容每包含一项内容，得2分，满分6分； 2.根据评审标准按提供的具体内容的完整性、可实施性、针对性横向对比得0-4分；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提供针对本项目的总体设计思路及方案，包括①整体工作目标；②工作思路；③设计方案；④内容重点及成果资料。 一、评审标准：1.完整性：编制思路及工作方案全面具体，对本项目重点、难点把控明确，有详细描述及说明；2.可实施性：切合本项目实际情况，实施步骤清晰、合理；3.针对性：编制思路及工作方案能够紧扣项目实际情况，内容科学合理。 二、赋分标准： 1.以上内容每包含一项内容，得4分，满分16分； 2.根据评审标准按提供的具体内容的完整性、可实施性、针对性横向对比得0-5分； 3.未提供不得分。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针对本项目的理解程度，对项目的重点、难点进行分析并提出应对策略。 一、评审标准：1.完整性：合理化建议全面具体，有详细描述及说明；2.可实施性：切合本项目实际情况，实施步骤清晰、合理。 二、赋分标准： 1.根据评审标准按提供的具体内容的完整性、可实施性横向对比得0-5分。 2.未提供不得分。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设计团队组织结构及人员配置</w:t>
            </w:r>
          </w:p>
        </w:tc>
        <w:tc>
          <w:tcPr>
            <w:tcW w:type="dxa" w:w="2492"/>
          </w:tcPr>
          <w:p>
            <w:pPr>
              <w:pStyle w:val="null3"/>
            </w:pPr>
            <w:r>
              <w:rPr>
                <w:rFonts w:ascii="仿宋_GB2312" w:hAnsi="仿宋_GB2312" w:cs="仿宋_GB2312" w:eastAsia="仿宋_GB2312"/>
              </w:rPr>
              <w:t>1.设计团队组织结构健全，有完善的岗位制度和岗位职责，人员配置充足、安排合理、分工明确，可操作性强，得[8-12]分；2.设计团队组织结构较为健全，有较为完善的岗位制度和岗位职责，人员配置较为充足、安排及分工较为合理，具有一定的操作性，得[4-8)分；3.设计团队组织结构不够健全，岗位制度和岗位职责不够完善，人员配置较为充足、安排及分工较为不够合理，得[0-4)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提供针对本项目的质量保证措施，包含①项目质量保障体系；②项目整体质量管控要求；③成果文件的质量保证措施。 一、评审标准：1.完整性：质量保证措施全面具体，对本项目重点、难点把控明确，有详细描述及说明；2.可实施性：切合本项目实际情况，实施步骤清晰、合理；3.针对性：质量保证措施能够紧扣项目实际情况，内容科学合理。 二、赋分标准： 1.以上内容每包含一项内容，得3分，满分9分； 2.根据评审标准按提供的具体内容的完整性、可实施性、针对性横向对比得0-5分； 3.未提供不得分。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提供针对本项目设计阶段的工程造价控制措施：包含①造价控制常见问题梳理；②造价控制措施；③造价控制承诺。一、评审标准：1.完整性：质量保证措施全面具体，对本项目重点、难点把控明确，有详细描述及说明；2.可实施性：切合本项目实际情况，实施步骤清晰、合理；3.针对性：质量保证措施能够紧扣项目实际情况，内容科学合理。 二、赋分标准： 1.以上内容每包含一项内容，得2分，满分6分； 2.根据评审标准按提供的具体内容的完整性、可实施性、针对性横向对比得0-5分； 3.未提供不得分。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服务保证措施及承诺</w:t>
            </w:r>
          </w:p>
        </w:tc>
        <w:tc>
          <w:tcPr>
            <w:tcW w:type="dxa" w:w="2492"/>
          </w:tcPr>
          <w:p>
            <w:pPr>
              <w:pStyle w:val="null3"/>
            </w:pPr>
            <w:r>
              <w:rPr>
                <w:rFonts w:ascii="仿宋_GB2312" w:hAnsi="仿宋_GB2312" w:cs="仿宋_GB2312" w:eastAsia="仿宋_GB2312"/>
              </w:rPr>
              <w:t>针对本项目具有明确的服务保证措施及承诺：包含①服务承诺；②服务保证措施；③进度控制措施及承诺。 一、评审标准：1.完整性：服务保证措施及承诺全面具体，有详细描述及说明；2.可实施性：切合本项目实际情况，实施步骤清晰、合理；3.针对性：服务保证措施及承诺能够紧扣项目实际情况，内容科学合理。 二、赋分标准： 1.以上内容每包含一项内容，得2分，满分6分； 2.根据评审标准按提供的具体内容的完整性、可实施性、针对性横向对比得0-5分； 3.未提供不得分。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4月至今(以合同签订日期为准)类似项目业绩。每提供1份计2分，最高得6分。注：以合同签订或中标（成交）通知书为准，时间以合同签订日期为准，须在磋商响应文件中附以上证明材料的扫描件加盖电子印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满足磋商文件要求且最终报价最低的供应商的价格为磋商基准价，其价格得分为满分。其他供应商的价格得分统一按照下列公式计算：磋商报价得分=（磋商基准价/最终磋商报价）*价格分值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磋商一览表-修改.docx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详见附件：磋商一览表-修改.docx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详见附件：反商业贿赂承诺函.docx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详见附件：黄河流域金水河合阳县-合同条款及格式.docx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