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版本号：ZCSP-合阳县-2026-0004620260410001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2026年合阳县小麦促弱转壮项目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ZCSP-合阳县-2026-00046</w:t>
      </w:r>
      <w:r>
        <w:br/>
      </w:r>
      <w:r>
        <w:br/>
      </w:r>
      <w:r>
        <w:br/>
      </w:r>
    </w:p>
    <w:p>
      <w:pPr>
        <w:pStyle w:val="null3"/>
        <w:jc w:val="center"/>
        <w:outlineLvl w:val="2"/>
      </w:pPr>
      <w:r>
        <w:rPr>
          <w:rFonts w:ascii="仿宋_GB2312" w:hAnsi="仿宋_GB2312" w:cs="仿宋_GB2312" w:eastAsia="仿宋_GB2312"/>
          <w:sz w:val="28"/>
          <w:b/>
        </w:rPr>
        <w:t>合阳县农业技术推广中心</w:t>
      </w:r>
    </w:p>
    <w:p>
      <w:pPr>
        <w:pStyle w:val="null3"/>
        <w:jc w:val="center"/>
        <w:outlineLvl w:val="2"/>
      </w:pPr>
      <w:r>
        <w:rPr>
          <w:rFonts w:ascii="仿宋_GB2312" w:hAnsi="仿宋_GB2312" w:cs="仿宋_GB2312" w:eastAsia="仿宋_GB2312"/>
          <w:sz w:val="28"/>
          <w:b/>
        </w:rPr>
        <w:t>新瑞建设有限公司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新瑞建设有限公司</w:t>
      </w:r>
      <w:r>
        <w:rPr>
          <w:rFonts w:ascii="仿宋_GB2312" w:hAnsi="仿宋_GB2312" w:cs="仿宋_GB2312" w:eastAsia="仿宋_GB2312"/>
        </w:rPr>
        <w:t>（以下简称“代理机构”）受</w:t>
      </w:r>
      <w:r>
        <w:rPr>
          <w:rFonts w:ascii="仿宋_GB2312" w:hAnsi="仿宋_GB2312" w:cs="仿宋_GB2312" w:eastAsia="仿宋_GB2312"/>
        </w:rPr>
        <w:t>合阳县农业技术推广中心</w:t>
      </w:r>
      <w:r>
        <w:rPr>
          <w:rFonts w:ascii="仿宋_GB2312" w:hAnsi="仿宋_GB2312" w:cs="仿宋_GB2312" w:eastAsia="仿宋_GB2312"/>
        </w:rPr>
        <w:t>委托，拟对</w:t>
      </w:r>
      <w:r>
        <w:rPr>
          <w:rFonts w:ascii="仿宋_GB2312" w:hAnsi="仿宋_GB2312" w:cs="仿宋_GB2312" w:eastAsia="仿宋_GB2312"/>
        </w:rPr>
        <w:t>2026年合阳县小麦促弱转壮项目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ZCSP-合阳县-2026-00046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2026年合阳县小麦促弱转壮项目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为奠定小麦丰产基础，本项目主要对小麦进行促弱转壮增粒重实防病虫施药剂采购发放。</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采购包1（2026年合阳县小麦促弱转壮项目）：属于专门面向中小企业采购。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投标人如为生产厂家的，须提供农药登记证、农药生产许可证或农药生产批准文件、农药标准证；投标人如为经销商的，须提供农药经营许可证及生产厂家的农药登记证、农药生产许可证或农药生产批准文件、农药标准证；</w:t>
      </w:r>
    </w:p>
    <w:p>
      <w:pPr>
        <w:pStyle w:val="null3"/>
      </w:pPr>
      <w:r>
        <w:rPr>
          <w:rFonts w:ascii="仿宋_GB2312" w:hAnsi="仿宋_GB2312" w:cs="仿宋_GB2312" w:eastAsia="仿宋_GB2312"/>
        </w:rPr>
        <w:t>2、法定代表人授权书/法定代表人身份证明：法定代表人参与投标时需提供法定代表人身份证明；被授权人参与投标时需提供法定代表人身份证明及法定代表人授权委托书</w:t>
      </w:r>
    </w:p>
    <w:p>
      <w:pPr>
        <w:pStyle w:val="null3"/>
      </w:pPr>
      <w:r>
        <w:rPr>
          <w:rFonts w:ascii="仿宋_GB2312" w:hAnsi="仿宋_GB2312" w:cs="仿宋_GB2312" w:eastAsia="仿宋_GB2312"/>
        </w:rPr>
        <w:t>3、投标保证金交纳凭证：投标保证金交纳凭证</w:t>
      </w:r>
    </w:p>
    <w:p>
      <w:pPr>
        <w:pStyle w:val="null3"/>
      </w:pPr>
      <w:r>
        <w:rPr>
          <w:rFonts w:ascii="仿宋_GB2312" w:hAnsi="仿宋_GB2312" w:cs="仿宋_GB2312" w:eastAsia="仿宋_GB2312"/>
        </w:rPr>
        <w:t>4、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合阳县农业技术推广中心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合阳县东新街75号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715300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刘昆鹏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15399311616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新瑞建设有限公司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陕西省渭南市临渭区解放路北段渭河大街东段南侧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任佩华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17719777728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合阳县政府采购管理股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秦维纲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0913-8343423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采购包1：377,600.00元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采购包1保证金金额：3,800.00元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开户名称：新瑞建设有限公司</w:t>
            </w:r>
          </w:p>
          <w:p>
            <w:pPr>
              <w:pStyle w:val="null3"/>
            </w:pPr>
            <w:r>
              <w:rPr>
                <w:rFonts w:ascii="仿宋_GB2312" w:hAnsi="仿宋_GB2312" w:cs="仿宋_GB2312" w:eastAsia="仿宋_GB2312"/>
              </w:rPr>
              <w:t>开户银行：中国工商银行渭南乐天花园支行</w:t>
            </w:r>
          </w:p>
          <w:p>
            <w:pPr>
              <w:pStyle w:val="null3"/>
            </w:pPr>
            <w:r>
              <w:rPr>
                <w:rFonts w:ascii="仿宋_GB2312" w:hAnsi="仿宋_GB2312" w:cs="仿宋_GB2312" w:eastAsia="仿宋_GB2312"/>
              </w:rPr>
              <w:t>银行账号：'2605041319200030511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原国家计委关于《招标代理服务收费管理暂行办法》（计价格〔2002〕1980号）以及国家发改价格〔2011〕534号文件规定中代理费计算方式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合阳县农业技术推广中心</w:t>
      </w:r>
      <w:r>
        <w:rPr>
          <w:rFonts w:ascii="仿宋_GB2312" w:hAnsi="仿宋_GB2312" w:cs="仿宋_GB2312" w:eastAsia="仿宋_GB2312"/>
        </w:rPr>
        <w:t>和</w:t>
      </w:r>
      <w:r>
        <w:rPr>
          <w:rFonts w:ascii="仿宋_GB2312" w:hAnsi="仿宋_GB2312" w:cs="仿宋_GB2312" w:eastAsia="仿宋_GB2312"/>
        </w:rPr>
        <w:t>新瑞建设有限公司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合阳县农业技术推广中心</w:t>
      </w:r>
      <w:r>
        <w:rPr>
          <w:rFonts w:ascii="仿宋_GB2312" w:hAnsi="仿宋_GB2312" w:cs="仿宋_GB2312" w:eastAsia="仿宋_GB2312"/>
        </w:rPr>
        <w:t>负责解释。除上述招标文件内容，其他内容由</w:t>
      </w:r>
      <w:r>
        <w:rPr>
          <w:rFonts w:ascii="仿宋_GB2312" w:hAnsi="仿宋_GB2312" w:cs="仿宋_GB2312" w:eastAsia="仿宋_GB2312"/>
        </w:rPr>
        <w:t>新瑞建设有限公司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合阳县农业技术推广中心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新瑞建设有限公司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联系人：任佩华</w:t>
      </w:r>
    </w:p>
    <w:p>
      <w:pPr>
        <w:pStyle w:val="null3"/>
      </w:pPr>
      <w:r>
        <w:rPr>
          <w:rFonts w:ascii="仿宋_GB2312" w:hAnsi="仿宋_GB2312" w:cs="仿宋_GB2312" w:eastAsia="仿宋_GB2312"/>
        </w:rPr>
        <w:t>联系电话：17719777728</w:t>
      </w:r>
    </w:p>
    <w:p>
      <w:pPr>
        <w:pStyle w:val="null3"/>
      </w:pPr>
      <w:r>
        <w:rPr>
          <w:rFonts w:ascii="仿宋_GB2312" w:hAnsi="仿宋_GB2312" w:cs="仿宋_GB2312" w:eastAsia="仿宋_GB2312"/>
        </w:rPr>
        <w:t>地址：陕西省渭南市临渭区解放路北段渭河大街东段南侧</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为奠定小麦丰产基础，本项目主要对小麦进行促弱转壮增粒重实防病虫施药剂采购发放。</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377,600.00</w:t>
      </w:r>
    </w:p>
    <w:p>
      <w:pPr>
        <w:pStyle w:val="null3"/>
      </w:pPr>
      <w:r>
        <w:rPr>
          <w:rFonts w:ascii="仿宋_GB2312" w:hAnsi="仿宋_GB2312" w:cs="仿宋_GB2312" w:eastAsia="仿宋_GB2312"/>
        </w:rPr>
        <w:t>采购包最高限价（元）: 377,600.00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2026年合阳县小麦促弱转壮</w:t>
            </w:r>
          </w:p>
        </w:tc>
        <w:tc>
          <w:tcPr>
            <w:tcW w:type="dxa" w:w="831"/>
          </w:tcPr>
          <w:p>
            <w:pPr>
              <w:pStyle w:val="null3"/>
              <w:jc w:val="right"/>
            </w:pPr>
            <w:r>
              <w:rPr>
                <w:rFonts w:ascii="仿宋_GB2312" w:hAnsi="仿宋_GB2312" w:cs="仿宋_GB2312" w:eastAsia="仿宋_GB2312"/>
              </w:rPr>
              <w:t>64,000.00</w:t>
            </w:r>
          </w:p>
        </w:tc>
        <w:tc>
          <w:tcPr>
            <w:tcW w:type="dxa" w:w="831"/>
          </w:tcPr>
          <w:p>
            <w:pPr>
              <w:pStyle w:val="null3"/>
              <w:jc w:val="right"/>
            </w:pPr>
            <w:r>
              <w:rPr>
                <w:rFonts w:ascii="仿宋_GB2312" w:hAnsi="仿宋_GB2312" w:cs="仿宋_GB2312" w:eastAsia="仿宋_GB2312"/>
              </w:rPr>
              <w:t>377,600.00</w:t>
            </w:r>
          </w:p>
        </w:tc>
        <w:tc>
          <w:tcPr>
            <w:tcW w:type="dxa" w:w="831"/>
          </w:tcPr>
          <w:p>
            <w:pPr>
              <w:pStyle w:val="null3"/>
            </w:pPr>
            <w:r>
              <w:rPr>
                <w:rFonts w:ascii="仿宋_GB2312" w:hAnsi="仿宋_GB2312" w:cs="仿宋_GB2312" w:eastAsia="仿宋_GB2312"/>
              </w:rPr>
              <w:t>亩</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标的名称：2026年合阳县小麦促弱转壮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276"/>
              <w:gridCol w:w="1276"/>
            </w:tblGrid>
            <w:tr>
              <w:tc>
                <w:tcPr>
                  <w:tcW w:type="dxa" w:w="1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1276"/>
                </w:tcPr>
                <w:p>
                  <w:pPr>
                    <w:pStyle w:val="null3"/>
                  </w:pPr>
                  <w:r>
                    <w:rPr>
                      <w:rFonts w:ascii="仿宋_GB2312" w:hAnsi="仿宋_GB2312" w:cs="仿宋_GB2312" w:eastAsia="仿宋_GB2312"/>
                      <w:sz w:val="19"/>
                    </w:rPr>
                    <w:t>标的名称</w:t>
                  </w:r>
                </w:p>
              </w:tc>
            </w:tr>
            <w:tr>
              <w:tc>
                <w:tcPr>
                  <w:tcW w:type="dxa" w:w="1276"/>
                </w:tcPr>
                <w:p>
                  <w:pPr>
                    <w:pStyle w:val="null3"/>
                  </w:pPr>
                  <w:r>
                    <w:rPr>
                      <w:rFonts w:ascii="仿宋_GB2312" w:hAnsi="仿宋_GB2312" w:cs="仿宋_GB2312" w:eastAsia="仿宋_GB2312"/>
                      <w:sz w:val="19"/>
                    </w:rPr>
                    <w:t>1</w:t>
                  </w:r>
                </w:p>
              </w:tc>
              <w:tc>
                <w:tcPr>
                  <w:tcW w:type="dxa" w:w="1276"/>
                </w:tcPr>
                <w:p>
                  <w:pPr>
                    <w:pStyle w:val="null3"/>
                  </w:pPr>
                  <w:r>
                    <w:rPr>
                      <w:rFonts w:ascii="仿宋_GB2312" w:hAnsi="仿宋_GB2312" w:cs="仿宋_GB2312" w:eastAsia="仿宋_GB2312"/>
                      <w:sz w:val="19"/>
                    </w:rPr>
                    <w:t>叶面肥</w:t>
                  </w:r>
                </w:p>
              </w:tc>
            </w:tr>
            <w:tr>
              <w:tc>
                <w:tcPr>
                  <w:tcW w:type="dxa" w:w="1276"/>
                </w:tcPr>
                <w:p>
                  <w:pPr>
                    <w:pStyle w:val="null3"/>
                  </w:pPr>
                  <w:r>
                    <w:rPr>
                      <w:rFonts w:ascii="仿宋_GB2312" w:hAnsi="仿宋_GB2312" w:cs="仿宋_GB2312" w:eastAsia="仿宋_GB2312"/>
                      <w:sz w:val="19"/>
                    </w:rPr>
                    <w:t>2</w:t>
                  </w:r>
                </w:p>
              </w:tc>
              <w:tc>
                <w:tcPr>
                  <w:tcW w:type="dxa" w:w="1276"/>
                </w:tcPr>
                <w:p>
                  <w:pPr>
                    <w:pStyle w:val="null3"/>
                  </w:pPr>
                  <w:r>
                    <w:rPr>
                      <w:rFonts w:ascii="仿宋_GB2312" w:hAnsi="仿宋_GB2312" w:cs="仿宋_GB2312" w:eastAsia="仿宋_GB2312"/>
                      <w:sz w:val="19"/>
                    </w:rPr>
                    <w:t>生长调节剂</w:t>
                  </w:r>
                </w:p>
              </w:tc>
            </w:tr>
            <w:tr>
              <w:tc>
                <w:tcPr>
                  <w:tcW w:type="dxa" w:w="1276"/>
                </w:tcPr>
                <w:p>
                  <w:pPr>
                    <w:pStyle w:val="null3"/>
                  </w:pPr>
                  <w:r>
                    <w:rPr>
                      <w:rFonts w:ascii="仿宋_GB2312" w:hAnsi="仿宋_GB2312" w:cs="仿宋_GB2312" w:eastAsia="仿宋_GB2312"/>
                      <w:sz w:val="19"/>
                    </w:rPr>
                    <w:t>3</w:t>
                  </w:r>
                </w:p>
              </w:tc>
              <w:tc>
                <w:tcPr>
                  <w:tcW w:type="dxa" w:w="1276"/>
                </w:tcPr>
                <w:p>
                  <w:pPr>
                    <w:pStyle w:val="null3"/>
                  </w:pPr>
                  <w:r>
                    <w:rPr>
                      <w:rFonts w:ascii="仿宋_GB2312" w:hAnsi="仿宋_GB2312" w:cs="仿宋_GB2312" w:eastAsia="仿宋_GB2312"/>
                      <w:sz w:val="19"/>
                    </w:rPr>
                    <w:t>杀菌剂</w:t>
                  </w:r>
                </w:p>
              </w:tc>
            </w:tr>
          </w:tbl>
          <w:p>
            <w:pPr>
              <w:pStyle w:val="null3"/>
            </w:pPr>
            <w:r>
              <w:rPr>
                <w:rFonts w:ascii="仿宋_GB2312" w:hAnsi="仿宋_GB2312" w:cs="仿宋_GB2312" w:eastAsia="仿宋_GB2312"/>
              </w:rPr>
              <w:t>1.服务内容</w:t>
            </w:r>
          </w:p>
          <w:p>
            <w:pPr>
              <w:pStyle w:val="null3"/>
            </w:pPr>
            <w:r>
              <w:rPr>
                <w:rFonts w:ascii="仿宋_GB2312" w:hAnsi="仿宋_GB2312" w:cs="仿宋_GB2312" w:eastAsia="仿宋_GB2312"/>
              </w:rPr>
              <w:t>对小麦进行促弱转壮增粒重防病虫药剂发放服务。</w:t>
            </w:r>
          </w:p>
          <w:p>
            <w:pPr>
              <w:pStyle w:val="null3"/>
            </w:pPr>
            <w:r>
              <w:rPr>
                <w:rFonts w:ascii="仿宋_GB2312" w:hAnsi="仿宋_GB2312" w:cs="仿宋_GB2312" w:eastAsia="仿宋_GB2312"/>
              </w:rPr>
              <w:t>2.药剂服务要求</w:t>
            </w:r>
          </w:p>
          <w:p>
            <w:pPr>
              <w:pStyle w:val="null3"/>
            </w:pPr>
            <w:r>
              <w:rPr>
                <w:rFonts w:ascii="仿宋_GB2312" w:hAnsi="仿宋_GB2312" w:cs="仿宋_GB2312" w:eastAsia="仿宋_GB2312"/>
              </w:rPr>
              <w:t>2.1 药剂服务要求</w:t>
            </w:r>
          </w:p>
          <w:p>
            <w:pPr>
              <w:pStyle w:val="null3"/>
            </w:pPr>
            <w:r>
              <w:rPr>
                <w:rFonts w:ascii="仿宋_GB2312" w:hAnsi="仿宋_GB2312" w:cs="仿宋_GB2312" w:eastAsia="仿宋_GB2312"/>
              </w:rPr>
              <w:t>负责药剂的发放。</w:t>
            </w:r>
          </w:p>
          <w:p>
            <w:pPr>
              <w:pStyle w:val="null3"/>
            </w:pPr>
            <w:r>
              <w:rPr>
                <w:rFonts w:ascii="仿宋_GB2312" w:hAnsi="仿宋_GB2312" w:cs="仿宋_GB2312" w:eastAsia="仿宋_GB2312"/>
              </w:rPr>
              <w:t>2.2 药剂使用要求</w:t>
            </w:r>
          </w:p>
          <w:tbl>
            <w:tblPr>
              <w:tblBorders>
                <w:top w:val="single"/>
                <w:left w:val="single"/>
                <w:bottom w:val="single"/>
                <w:right w:val="single"/>
                <w:insideH w:val="single"/>
                <w:insideV w:val="single"/>
              </w:tblBorders>
            </w:tblPr>
            <w:tblGrid>
              <w:gridCol w:w="426"/>
              <w:gridCol w:w="426"/>
              <w:gridCol w:w="426"/>
              <w:gridCol w:w="426"/>
              <w:gridCol w:w="426"/>
              <w:gridCol w:w="426"/>
            </w:tblGrid>
            <w:tr>
              <w:tc>
                <w:tcPr>
                  <w:tcW w:type="dxa" w:w="426"/>
                </w:tcPr>
                <w:p>
                  <w:pPr>
                    <w:pStyle w:val="null3"/>
                  </w:pPr>
                  <w:r>
                    <w:rPr>
                      <w:rFonts w:ascii="仿宋_GB2312" w:hAnsi="仿宋_GB2312" w:cs="仿宋_GB2312" w:eastAsia="仿宋_GB2312"/>
                    </w:rPr>
                    <w:t>序号</w:t>
                  </w:r>
                </w:p>
              </w:tc>
              <w:tc>
                <w:tcPr>
                  <w:tcW w:type="dxa" w:w="426"/>
                </w:tcPr>
                <w:p>
                  <w:pPr>
                    <w:pStyle w:val="null3"/>
                  </w:pPr>
                  <w:r>
                    <w:rPr>
                      <w:rFonts w:ascii="仿宋_GB2312" w:hAnsi="仿宋_GB2312" w:cs="仿宋_GB2312" w:eastAsia="仿宋_GB2312"/>
                    </w:rPr>
                    <w:t>药剂类别</w:t>
                  </w:r>
                </w:p>
              </w:tc>
              <w:tc>
                <w:tcPr>
                  <w:tcW w:type="dxa" w:w="426"/>
                </w:tcPr>
                <w:p>
                  <w:pPr>
                    <w:pStyle w:val="null3"/>
                  </w:pPr>
                  <w:r>
                    <w:rPr>
                      <w:rFonts w:ascii="仿宋_GB2312" w:hAnsi="仿宋_GB2312" w:cs="仿宋_GB2312" w:eastAsia="仿宋_GB2312"/>
                    </w:rPr>
                    <w:t>药剂名称</w:t>
                  </w:r>
                </w:p>
              </w:tc>
              <w:tc>
                <w:tcPr>
                  <w:tcW w:type="dxa" w:w="426"/>
                </w:tcPr>
                <w:p>
                  <w:pPr>
                    <w:pStyle w:val="null3"/>
                  </w:pPr>
                  <w:r>
                    <w:rPr>
                      <w:rFonts w:ascii="仿宋_GB2312" w:hAnsi="仿宋_GB2312" w:cs="仿宋_GB2312" w:eastAsia="仿宋_GB2312"/>
                    </w:rPr>
                    <w:t>数量</w:t>
                  </w:r>
                </w:p>
              </w:tc>
              <w:tc>
                <w:tcPr>
                  <w:tcW w:type="dxa" w:w="426"/>
                </w:tcPr>
                <w:p>
                  <w:pPr>
                    <w:pStyle w:val="null3"/>
                  </w:pPr>
                  <w:r>
                    <w:rPr>
                      <w:rFonts w:ascii="仿宋_GB2312" w:hAnsi="仿宋_GB2312" w:cs="仿宋_GB2312" w:eastAsia="仿宋_GB2312"/>
                    </w:rPr>
                    <w:t>亩用量</w:t>
                  </w:r>
                </w:p>
              </w:tc>
              <w:tc>
                <w:tcPr>
                  <w:tcW w:type="dxa" w:w="426"/>
                </w:tcPr>
                <w:p>
                  <w:pPr>
                    <w:pStyle w:val="null3"/>
                  </w:pPr>
                  <w:r>
                    <w:rPr>
                      <w:rFonts w:ascii="仿宋_GB2312" w:hAnsi="仿宋_GB2312" w:cs="仿宋_GB2312" w:eastAsia="仿宋_GB2312"/>
                    </w:rPr>
                    <w:t>主要技术参数指标</w:t>
                  </w:r>
                </w:p>
              </w:tc>
            </w:tr>
            <w:tr>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叶面肥</w:t>
                  </w:r>
                </w:p>
              </w:tc>
              <w:tc>
                <w:tcPr>
                  <w:tcW w:type="dxa" w:w="426"/>
                </w:tcPr>
                <w:p>
                  <w:pPr>
                    <w:pStyle w:val="null3"/>
                  </w:pPr>
                  <w:r>
                    <w:rPr>
                      <w:rFonts w:ascii="仿宋_GB2312" w:hAnsi="仿宋_GB2312" w:cs="仿宋_GB2312" w:eastAsia="仿宋_GB2312"/>
                    </w:rPr>
                    <w:t>磷酸二氢钾</w:t>
                  </w:r>
                </w:p>
              </w:tc>
              <w:tc>
                <w:tcPr>
                  <w:tcW w:type="dxa" w:w="426"/>
                </w:tcPr>
                <w:p>
                  <w:pPr>
                    <w:pStyle w:val="null3"/>
                  </w:pPr>
                  <w:r>
                    <w:rPr>
                      <w:rFonts w:ascii="仿宋_GB2312" w:hAnsi="仿宋_GB2312" w:cs="仿宋_GB2312" w:eastAsia="仿宋_GB2312"/>
                    </w:rPr>
                    <w:t>6400kg</w:t>
                  </w:r>
                </w:p>
              </w:tc>
              <w:tc>
                <w:tcPr>
                  <w:tcW w:type="dxa" w:w="426"/>
                </w:tcPr>
                <w:p>
                  <w:pPr>
                    <w:pStyle w:val="null3"/>
                  </w:pPr>
                  <w:r>
                    <w:rPr>
                      <w:rFonts w:ascii="仿宋_GB2312" w:hAnsi="仿宋_GB2312" w:cs="仿宋_GB2312" w:eastAsia="仿宋_GB2312"/>
                    </w:rPr>
                    <w:t>100g/亩</w:t>
                  </w:r>
                </w:p>
              </w:tc>
              <w:tc>
                <w:tcPr>
                  <w:tcW w:type="dxa" w:w="426"/>
                </w:tcPr>
                <w:p>
                  <w:pPr>
                    <w:pStyle w:val="null3"/>
                  </w:pPr>
                  <w:r>
                    <w:rPr>
                      <w:rFonts w:ascii="仿宋_GB2312" w:hAnsi="仿宋_GB2312" w:cs="仿宋_GB2312" w:eastAsia="仿宋_GB2312"/>
                    </w:rPr>
                    <w:t>1.有效成分含量：</w:t>
                  </w:r>
                </w:p>
                <w:p>
                  <w:pPr>
                    <w:pStyle w:val="null3"/>
                  </w:pPr>
                  <w:r>
                    <w:rPr>
                      <w:rFonts w:ascii="仿宋_GB2312" w:hAnsi="仿宋_GB2312" w:cs="仿宋_GB2312" w:eastAsia="仿宋_GB2312"/>
                      <w:sz w:val="21"/>
                      <w:color w:val="000000"/>
                    </w:rPr>
                    <w:t>▲</w:t>
                  </w:r>
                  <w:r>
                    <w:rPr>
                      <w:rFonts w:ascii="仿宋_GB2312" w:hAnsi="仿宋_GB2312" w:cs="仿宋_GB2312" w:eastAsia="仿宋_GB2312"/>
                    </w:rPr>
                    <w:t>KH2PO4≥98%</w:t>
                  </w:r>
                </w:p>
                <w:p>
                  <w:pPr>
                    <w:pStyle w:val="null3"/>
                  </w:pPr>
                  <w:r>
                    <w:rPr>
                      <w:rFonts w:ascii="仿宋_GB2312" w:hAnsi="仿宋_GB2312" w:cs="仿宋_GB2312" w:eastAsia="仿宋_GB2312"/>
                    </w:rPr>
                    <w:t>P2O5≥51.0%</w:t>
                  </w:r>
                </w:p>
                <w:p>
                  <w:pPr>
                    <w:pStyle w:val="null3"/>
                  </w:pPr>
                  <w:r>
                    <w:rPr>
                      <w:rFonts w:ascii="仿宋_GB2312" w:hAnsi="仿宋_GB2312" w:cs="仿宋_GB2312" w:eastAsia="仿宋_GB2312"/>
                    </w:rPr>
                    <w:t>K2O≥33.8%</w:t>
                  </w:r>
                </w:p>
                <w:p>
                  <w:pPr>
                    <w:pStyle w:val="null3"/>
                  </w:pPr>
                  <w:r>
                    <w:rPr>
                      <w:rFonts w:ascii="仿宋_GB2312" w:hAnsi="仿宋_GB2312" w:cs="仿宋_GB2312" w:eastAsia="仿宋_GB2312"/>
                    </w:rPr>
                    <w:t>氯化物（cl）≤1.0%</w:t>
                  </w:r>
                </w:p>
                <w:p>
                  <w:pPr>
                    <w:pStyle w:val="null3"/>
                  </w:pPr>
                  <w:r>
                    <w:rPr>
                      <w:rFonts w:ascii="仿宋_GB2312" w:hAnsi="仿宋_GB2312" w:cs="仿宋_GB2312" w:eastAsia="仿宋_GB2312"/>
                    </w:rPr>
                    <w:t>2.剂型：粉剂</w:t>
                  </w:r>
                </w:p>
              </w:tc>
            </w:tr>
            <w:tr>
              <w:tc>
                <w:tcPr>
                  <w:tcW w:type="dxa" w:w="426"/>
                </w:tcPr>
                <w:p>
                  <w:pPr>
                    <w:pStyle w:val="null3"/>
                  </w:pPr>
                  <w:r>
                    <w:rPr>
                      <w:rFonts w:ascii="仿宋_GB2312" w:hAnsi="仿宋_GB2312" w:cs="仿宋_GB2312" w:eastAsia="仿宋_GB2312"/>
                    </w:rPr>
                    <w:t>2</w:t>
                  </w:r>
                </w:p>
              </w:tc>
              <w:tc>
                <w:tcPr>
                  <w:tcW w:type="dxa" w:w="426"/>
                </w:tcPr>
                <w:p>
                  <w:pPr>
                    <w:pStyle w:val="null3"/>
                  </w:pPr>
                  <w:r>
                    <w:rPr>
                      <w:rFonts w:ascii="仿宋_GB2312" w:hAnsi="仿宋_GB2312" w:cs="仿宋_GB2312" w:eastAsia="仿宋_GB2312"/>
                    </w:rPr>
                    <w:t>生长调节剂</w:t>
                  </w:r>
                </w:p>
              </w:tc>
              <w:tc>
                <w:tcPr>
                  <w:tcW w:type="dxa" w:w="426"/>
                </w:tcPr>
                <w:p>
                  <w:pPr>
                    <w:pStyle w:val="null3"/>
                  </w:pPr>
                  <w:r>
                    <w:rPr>
                      <w:rFonts w:ascii="仿宋_GB2312" w:hAnsi="仿宋_GB2312" w:cs="仿宋_GB2312" w:eastAsia="仿宋_GB2312"/>
                    </w:rPr>
                    <w:t>芸苔素内酯</w:t>
                  </w:r>
                </w:p>
              </w:tc>
              <w:tc>
                <w:tcPr>
                  <w:tcW w:type="dxa" w:w="426"/>
                </w:tcPr>
                <w:p>
                  <w:pPr>
                    <w:pStyle w:val="null3"/>
                  </w:pPr>
                  <w:r>
                    <w:rPr>
                      <w:rFonts w:ascii="仿宋_GB2312" w:hAnsi="仿宋_GB2312" w:cs="仿宋_GB2312" w:eastAsia="仿宋_GB2312"/>
                    </w:rPr>
                    <w:t>640L</w:t>
                  </w:r>
                </w:p>
              </w:tc>
              <w:tc>
                <w:tcPr>
                  <w:tcW w:type="dxa" w:w="426"/>
                </w:tcPr>
                <w:p>
                  <w:pPr>
                    <w:pStyle w:val="null3"/>
                  </w:pPr>
                  <w:r>
                    <w:rPr>
                      <w:rFonts w:ascii="仿宋_GB2312" w:hAnsi="仿宋_GB2312" w:cs="仿宋_GB2312" w:eastAsia="仿宋_GB2312"/>
                    </w:rPr>
                    <w:t>10ml/亩</w:t>
                  </w:r>
                </w:p>
              </w:tc>
              <w:tc>
                <w:tcPr>
                  <w:tcW w:type="dxa" w:w="426"/>
                </w:tcPr>
                <w:p>
                  <w:pPr>
                    <w:pStyle w:val="null3"/>
                  </w:pPr>
                  <w:r>
                    <w:rPr>
                      <w:rFonts w:ascii="仿宋_GB2312" w:hAnsi="仿宋_GB2312" w:cs="仿宋_GB2312" w:eastAsia="仿宋_GB2312"/>
                    </w:rPr>
                    <w:t>1.有效成分含量：</w:t>
                  </w:r>
                </w:p>
                <w:p>
                  <w:pPr>
                    <w:pStyle w:val="null3"/>
                  </w:pPr>
                  <w:r>
                    <w:rPr>
                      <w:rFonts w:ascii="仿宋_GB2312" w:hAnsi="仿宋_GB2312" w:cs="仿宋_GB2312" w:eastAsia="仿宋_GB2312"/>
                      <w:sz w:val="21"/>
                      <w:color w:val="000000"/>
                    </w:rPr>
                    <w:t>▲</w:t>
                  </w:r>
                  <w:r>
                    <w:rPr>
                      <w:rFonts w:ascii="仿宋_GB2312" w:hAnsi="仿宋_GB2312" w:cs="仿宋_GB2312" w:eastAsia="仿宋_GB2312"/>
                    </w:rPr>
                    <w:t>芸苔素内酯≥0.004%</w:t>
                  </w:r>
                </w:p>
                <w:p>
                  <w:pPr>
                    <w:pStyle w:val="null3"/>
                  </w:pPr>
                  <w:r>
                    <w:rPr>
                      <w:rFonts w:ascii="仿宋_GB2312" w:hAnsi="仿宋_GB2312" w:cs="仿宋_GB2312" w:eastAsia="仿宋_GB2312"/>
                    </w:rPr>
                    <w:t>2.剂型：可溶液剂</w:t>
                  </w:r>
                </w:p>
              </w:tc>
            </w:tr>
            <w:tr>
              <w:tc>
                <w:tcPr>
                  <w:tcW w:type="dxa" w:w="426"/>
                </w:tcPr>
                <w:p>
                  <w:pPr>
                    <w:pStyle w:val="null3"/>
                  </w:pPr>
                  <w:r>
                    <w:rPr>
                      <w:rFonts w:ascii="仿宋_GB2312" w:hAnsi="仿宋_GB2312" w:cs="仿宋_GB2312" w:eastAsia="仿宋_GB2312"/>
                    </w:rPr>
                    <w:t>3</w:t>
                  </w:r>
                </w:p>
              </w:tc>
              <w:tc>
                <w:tcPr>
                  <w:tcW w:type="dxa" w:w="426"/>
                </w:tcPr>
                <w:p>
                  <w:pPr>
                    <w:pStyle w:val="null3"/>
                  </w:pPr>
                  <w:r>
                    <w:rPr>
                      <w:rFonts w:ascii="仿宋_GB2312" w:hAnsi="仿宋_GB2312" w:cs="仿宋_GB2312" w:eastAsia="仿宋_GB2312"/>
                    </w:rPr>
                    <w:t>杀菌剂</w:t>
                  </w:r>
                </w:p>
              </w:tc>
              <w:tc>
                <w:tcPr>
                  <w:tcW w:type="dxa" w:w="426"/>
                </w:tcPr>
                <w:p>
                  <w:pPr>
                    <w:pStyle w:val="null3"/>
                  </w:pPr>
                  <w:r>
                    <w:rPr>
                      <w:rFonts w:ascii="仿宋_GB2312" w:hAnsi="仿宋_GB2312" w:cs="仿宋_GB2312" w:eastAsia="仿宋_GB2312"/>
                    </w:rPr>
                    <w:t>戊唑醇</w:t>
                  </w:r>
                </w:p>
              </w:tc>
              <w:tc>
                <w:tcPr>
                  <w:tcW w:type="dxa" w:w="426"/>
                </w:tcPr>
                <w:p>
                  <w:pPr>
                    <w:pStyle w:val="null3"/>
                  </w:pPr>
                  <w:r>
                    <w:rPr>
                      <w:rFonts w:ascii="仿宋_GB2312" w:hAnsi="仿宋_GB2312" w:cs="仿宋_GB2312" w:eastAsia="仿宋_GB2312"/>
                    </w:rPr>
                    <w:t>1280L</w:t>
                  </w:r>
                </w:p>
              </w:tc>
              <w:tc>
                <w:tcPr>
                  <w:tcW w:type="dxa" w:w="426"/>
                </w:tcPr>
                <w:p>
                  <w:pPr>
                    <w:pStyle w:val="null3"/>
                  </w:pPr>
                  <w:r>
                    <w:rPr>
                      <w:rFonts w:ascii="仿宋_GB2312" w:hAnsi="仿宋_GB2312" w:cs="仿宋_GB2312" w:eastAsia="仿宋_GB2312"/>
                    </w:rPr>
                    <w:t>20ml/亩</w:t>
                  </w:r>
                </w:p>
              </w:tc>
              <w:tc>
                <w:tcPr>
                  <w:tcW w:type="dxa" w:w="426"/>
                </w:tcPr>
                <w:p>
                  <w:pPr>
                    <w:pStyle w:val="null3"/>
                  </w:pPr>
                  <w:r>
                    <w:rPr>
                      <w:rFonts w:ascii="仿宋_GB2312" w:hAnsi="仿宋_GB2312" w:cs="仿宋_GB2312" w:eastAsia="仿宋_GB2312"/>
                    </w:rPr>
                    <w:t>1.有效成分含量：</w:t>
                  </w:r>
                </w:p>
                <w:p>
                  <w:pPr>
                    <w:pStyle w:val="null3"/>
                  </w:pPr>
                  <w:r>
                    <w:rPr>
                      <w:rFonts w:ascii="仿宋_GB2312" w:hAnsi="仿宋_GB2312" w:cs="仿宋_GB2312" w:eastAsia="仿宋_GB2312"/>
                      <w:sz w:val="21"/>
                      <w:color w:val="000000"/>
                    </w:rPr>
                    <w:t>▲</w:t>
                  </w:r>
                  <w:r>
                    <w:rPr>
                      <w:rFonts w:ascii="仿宋_GB2312" w:hAnsi="仿宋_GB2312" w:cs="仿宋_GB2312" w:eastAsia="仿宋_GB2312"/>
                    </w:rPr>
                    <w:t>戊唑醇≥430克/升</w:t>
                  </w:r>
                </w:p>
                <w:p>
                  <w:pPr>
                    <w:pStyle w:val="null3"/>
                  </w:pPr>
                  <w:r>
                    <w:rPr>
                      <w:rFonts w:ascii="仿宋_GB2312" w:hAnsi="仿宋_GB2312" w:cs="仿宋_GB2312" w:eastAsia="仿宋_GB2312"/>
                    </w:rPr>
                    <w:t>2.剂型：悬浮剂</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核心产品：叶面肥。</w:t>
            </w:r>
          </w:p>
          <w:p>
            <w:pPr>
              <w:pStyle w:val="null3"/>
            </w:pPr>
            <w:r>
              <w:rPr>
                <w:rFonts w:ascii="仿宋_GB2312" w:hAnsi="仿宋_GB2312" w:cs="仿宋_GB2312" w:eastAsia="仿宋_GB2312"/>
              </w:rPr>
              <w:t>2.3服务面积</w:t>
            </w:r>
          </w:p>
          <w:p>
            <w:pPr>
              <w:pStyle w:val="null3"/>
            </w:pPr>
            <w:r>
              <w:rPr>
                <w:rFonts w:ascii="仿宋_GB2312" w:hAnsi="仿宋_GB2312" w:cs="仿宋_GB2312" w:eastAsia="仿宋_GB2312"/>
              </w:rPr>
              <w:t>在合阳县区域内，发放药剂面积不小于6.4万亩。（实际发放面积以最终发放亩数为准）。</w:t>
            </w:r>
          </w:p>
          <w:p>
            <w:pPr>
              <w:pStyle w:val="null3"/>
            </w:pPr>
            <w:r>
              <w:rPr>
                <w:rFonts w:ascii="仿宋_GB2312" w:hAnsi="仿宋_GB2312" w:cs="仿宋_GB2312" w:eastAsia="仿宋_GB2312"/>
              </w:rPr>
              <w:t>注：最终结算面积=总价除以单价（实际供货亩数如存在小数点后位数则向上进位取整数精确至个位数整数面积）。</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渭南市合阳县（采购人指定地点）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所有药品供货完成并经采购单位验收合格后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1、所供产品的规格、数量符合招标文件、供应商承诺及采购合同约定的要求。 2、所有产品均已运输至指定地点。 3.本项目由采购人及相关部门定期对项目进行阶段性验收。 4.验收标准：按采购文件、投标文件及澄清函、项目检查情况等综合指标进行验收。各项指标均应符合验收标准及要求。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所有货物以验收之日为质保起始日期，质保期1年，质保期内免费换货。</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合同另行约定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纸质版文件要求：中标（成交）供应商在中标（成交）结果公告发布后3个工作日内提供叁套纸质投标文件（经编标工具生成的文件直接打印并加盖公章），递交的纸质版文件内容确保与线上电子文件保持一致，不允许修改和补充；（2）根据《政府采购法实施条例》释义，银行、保险、石油石化、电力、电信等有行业特殊情况的，允许法人的分支机构参加政府采购活动；（3）本项目所属行业：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4）本项目不允许进口产品投标，根据陕西省财政厅《关于在政府采购活动中实施本国产品标准及相关政策的通知》（陕财办采〔2026〕2 号））的规定，投标人提供的本国产品应符合《国务院办公厅关于在政府采购中实施本国产品标准及相关政策的通知》（国办发〔2025〕34号）、《财政部、工信部发布关于贯彻落实《国务院办公厅关于在政府采购中实施本国产品标准及相关政策的通知》的意见》（财库〔2025〕30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供应商需提供合法有效，具有独立承担民事责任的能力且具备向采购人提供相关服务的证明资料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具有良好的商业信誉和健全的财务会计制度以及有依法缴纳税收和社会保障资金的良好记录（提供相关证明或承诺）</w:t>
            </w:r>
          </w:p>
        </w:tc>
        <w:tc>
          <w:tcPr>
            <w:tcW w:type="dxa" w:w="3322"/>
          </w:tcPr>
          <w:p>
            <w:pPr>
              <w:pStyle w:val="null3"/>
            </w:pPr>
            <w:r>
              <w:rPr>
                <w:rFonts w:ascii="仿宋_GB2312" w:hAnsi="仿宋_GB2312" w:cs="仿宋_GB2312" w:eastAsia="仿宋_GB2312"/>
              </w:rPr>
              <w:t>财务状况报告：提供具有财务审计资质单位出具的2024年度或2025年度财务审计报告（成立时间至开标时间不足一年的可提供成立后任意时段的资产负债表）或投标文件截止时间前六个月内其基本账户银行出具的资信证明（附基本账户证明）或政府采购信用担保机构出具的投标担保函； 税收缴纳证明：提供投标文件递交截止时间前一年内任意一个月的缴费凭据；依法免税的应提供相关文件证明； 社会保障资金缴纳证明：提供投标文件递交截止时间前一年内任意一个月的社保缴费凭据或社保机构开具的社会保险参保缴费情况证明；依法不需要缴纳社会保障资金的供应商应提供相关文件证明； 注：按照陕西省财政厅关于进一步优化政府采购营商环境有关事项的通知（陕财办采〔2023〕4号）中对供应商参与政府采购活动建立“承诺+信用管理”的准入管理制度要求，以上三项内容可根据本招标文件格式要求出具承诺函，中标供应商的承诺书同中标结果一并公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参加政府采购活动前三年内在经营活动中无重大违法记录的书面声明；</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如为生产厂家的，须提供农药登记证、农药生产许可证或农药生产批准文件、农药标准证；投标人如为经销商的，须提供农药经营许可证及生产厂家的农药登记证、农药生产许可证或农药生产批准文件、农药标准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法定代表人参与投标时需提供法定代表人身份证明；被授权人参与投标时需提供法定代表人身份证明及法定代表人授权委托书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投标保证金交纳凭证</w:t>
            </w:r>
          </w:p>
        </w:tc>
        <w:tc>
          <w:tcPr>
            <w:tcW w:type="dxa" w:w="3322"/>
          </w:tcPr>
          <w:p>
            <w:pPr>
              <w:pStyle w:val="null3"/>
            </w:pPr>
            <w:r>
              <w:rPr>
                <w:rFonts w:ascii="仿宋_GB2312" w:hAnsi="仿宋_GB2312" w:cs="仿宋_GB2312" w:eastAsia="仿宋_GB2312"/>
              </w:rPr>
              <w:t>投标保证金交纳凭证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参与的供应商（联合体）提供的货物全部由符合政策要求的中小企业制造。本项目所属行业：工业。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招标文件要求的其他内容</w:t>
            </w:r>
          </w:p>
        </w:tc>
        <w:tc>
          <w:tcPr>
            <w:tcW w:type="dxa" w:w="3322"/>
          </w:tcPr>
          <w:p>
            <w:pPr>
              <w:pStyle w:val="null3"/>
            </w:pPr>
            <w:r>
              <w:rPr>
                <w:rFonts w:ascii="仿宋_GB2312" w:hAnsi="仿宋_GB2312" w:cs="仿宋_GB2312" w:eastAsia="仿宋_GB2312"/>
              </w:rPr>
              <w:t>投标人对本项目的承诺</w:t>
            </w:r>
          </w:p>
        </w:tc>
        <w:tc>
          <w:tcPr>
            <w:tcW w:type="dxa" w:w="1661"/>
          </w:tcPr>
          <w:p>
            <w:pPr>
              <w:pStyle w:val="null3"/>
            </w:pPr>
            <w:r>
              <w:rPr>
                <w:rFonts w:ascii="仿宋_GB2312" w:hAnsi="仿宋_GB2312" w:cs="仿宋_GB2312" w:eastAsia="仿宋_GB2312"/>
              </w:rPr>
              <w:t>开标一览表 中小企业声明函 商务应答表 项目实施方案.docx 资格证明文件.docx 政府采购供应商拒绝政府采购领域商业贿赂承诺书.docx 产品技术参数表 投标函 残疾人福利性单位声明函 标的清单 分项报价表(1).docx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开标一览表 中小企业声明函 商务应答表 项目实施方案.docx 资格证明文件.docx 政府采购供应商拒绝政府采购领域商业贿赂承诺书.docx 产品技术参数表 投标函 残疾人福利性单位声明函 标的清单 分项报价表(1).docx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开标一览表 中小企业声明函 商务应答表 项目实施方案.docx 资格证明文件.docx 政府采购供应商拒绝政府采购领域商业贿赂承诺书.docx 产品技术参数表 投标函 残疾人福利性单位声明函 标的清单 投标文件封面 分项报价表(1).docx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标的清单 分项报价表(1).docx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交货期/合同履行期限</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开标一览表 商务应答表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开标一览表 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依据各投标供应商主要技术指标、参数、性能等情况综合评分，并能提供生产厂家出具的、响应的功能证明材料（包括但不限于检测报告、官网和功能截图、彩页、说明书等相关资料，并在技术偏离表 “说明”栏中标明页码，未提供视为负偏离），其他产品提供产品彩页，官网参数截图等相关资料。“▲”项每负偏离一项扣3分，非“▲”项每负偏离一项扣1分，扣完为止。无有效证明材料或响应数据与证明材料不符的视为负偏离。</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一、评审内容：①项目进度安排；②货物运输措施；③货物调控组织措施；④应急处理措施； 评审标准： 每一条评审内容不存在缺陷得4分；每有一条评审内容出现一处缺陷扣0.8分，扣完为止；未提供得0分。(缺陷是指：①编制内容与项目不吻合、层次未细化；②阐述未从实际出发，不切合项目背景及需求；③存在抄袭或套用其他地区或项目内容；④前后逻辑错误、存在歧义、科学原理或常识错误等；⑤无具体详细的阐述、实施性不强。)</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一、评审内容：①所投产品提供合法来源渠道证明材料；②产品质量保障措施；③产品的设计、工艺、加工、检验能力； 二、评审标准： 每一条评审内容不存在缺陷得4分；每有一条评审内容出现一处缺陷扣0.8分，扣完为止；未提供得0分。(缺陷是指：①编制内容与项目不吻合、层次未细化；②阐述未从实际出发，不切合项目背景及需求；③存在抄袭或套用其他地区或项目内容；④前后逻辑错误、存在歧义、科学原理或常识错误等；⑤无具体详细的阐述、实施性不强。)</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培训计划</w:t>
            </w:r>
          </w:p>
        </w:tc>
        <w:tc>
          <w:tcPr>
            <w:tcW w:type="dxa" w:w="2492"/>
          </w:tcPr>
          <w:p>
            <w:pPr>
              <w:pStyle w:val="null3"/>
            </w:pPr>
            <w:r>
              <w:rPr>
                <w:rFonts w:ascii="仿宋_GB2312" w:hAnsi="仿宋_GB2312" w:cs="仿宋_GB2312" w:eastAsia="仿宋_GB2312"/>
              </w:rPr>
              <w:t>一、评审内容：①培训时间；②培训内容及培训方式； 二、评审标准： 每一条评审内容不存在缺陷得3分；每有一条评审内容出现一处缺陷扣0.6分，扣完为止；未提供得0分。(缺陷是指：①编制内容与项目不吻合、层次未细化；②阐述未从实际出发，不切合项目背景及需求；③存在抄袭或套用其他地区或项目内容；④前后逻辑错误、存在歧义、科学原理或常识错误等；⑤无具体详细的阐述、实施性不强。)</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①售后服务方案完整可行，有明确的售后服务标准、售后服务承诺②；质保期内产品发生质量问题所产生的换货修补服务具体响应时限、补救措施；③售后服务机构组成，人员从业经历，服务人员培训计划情况；④售后服务响应（电话支持、到场服务）；二、评审标准： 每一条评审内容不存在缺陷得3分；每有一条评审内容出现一处缺陷扣0.6分，扣完为止；未提供得0分。(缺陷是指：①编制内容与项目不吻合、层次未细化；②阐述未从实际出发，不切合项目背景及需求；③存在抄袭或套用其他地区或项目内容；④前后逻辑错误、存在歧义、科学原理或常识错误等；⑤无具体详细的阐述、实施性不强。)</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近三年（2023年3月至今）的类似项目业绩，每提供一个有效业绩得1分，最高得5分。注：每个有效业绩须包含以下内容：中标（成交）通知书或合同复印件（提供复印件并加盖公章）。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拟投入的本项目人员结构合理、岗位职责明确，每有一名人员得0.5分，本项最高4分。（提供相关证明材料）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满足招标文件要求且投标价格最低的投标报价为评标基准价，其价格分为满分。其他投标单位的价格分统一按照下列公式计算：投标报价得分=(评标基准价／投标报价)×30%×100。 备注：当评标委员会认为某个投标人的报价明显低于其他通过符合性审查投标人的报价，有可能影响服务质量和不能诚信履约的，应要求该投标人在评标现场合理的时间内提供书面说明，必要时提交相关证明材料；投标人不能证明其报价合理的，评标委员会将其作为无效投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详见附件：分项报价表(1).docx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