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版本号：ZCZB-2026-011020260409001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“智慧合阳”集成管理指挥中心及社会治理网格化信息平台运维服务项目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ZCZB-2026-0110</w:t>
      </w:r>
      <w:r>
        <w:br/>
      </w:r>
      <w:r>
        <w:br/>
      </w:r>
      <w:r>
        <w:br/>
      </w:r>
    </w:p>
    <w:p>
      <w:pPr>
        <w:pStyle w:val="null3"/>
        <w:jc w:val="center"/>
        <w:outlineLvl w:val="2"/>
      </w:pPr>
      <w:r>
        <w:rPr>
          <w:rFonts w:ascii="仿宋_GB2312" w:hAnsi="仿宋_GB2312" w:cs="仿宋_GB2312" w:eastAsia="仿宋_GB2312"/>
          <w:sz w:val="28"/>
          <w:b/>
        </w:rPr>
        <w:t>合阳县人民政府办公室</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合阳县人民政府办公室</w:t>
      </w:r>
      <w:r>
        <w:rPr>
          <w:rFonts w:ascii="仿宋_GB2312" w:hAnsi="仿宋_GB2312" w:cs="仿宋_GB2312" w:eastAsia="仿宋_GB2312"/>
        </w:rPr>
        <w:t>委托，拟对</w:t>
      </w:r>
      <w:r>
        <w:rPr>
          <w:rFonts w:ascii="仿宋_GB2312" w:hAnsi="仿宋_GB2312" w:cs="仿宋_GB2312" w:eastAsia="仿宋_GB2312"/>
        </w:rPr>
        <w:t>“智慧合阳”集成管理指挥中心及社会治理网格化信息平台运维服务项目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ZCZB-2026-0110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“智慧合阳”集成管理指挥中心及社会治理网格化信息平台运维服务项目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合阳县人民政府办公室“智慧合阳”集成管理指挥中心及社会治理网格化信息平台运维服务项目。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2、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pPr>
        <w:pStyle w:val="null3"/>
      </w:pPr>
      <w:r>
        <w:rPr>
          <w:rFonts w:ascii="仿宋_GB2312" w:hAnsi="仿宋_GB2312" w:cs="仿宋_GB2312" w:eastAsia="仿宋_GB2312"/>
        </w:rPr>
        <w:t>3、其他要求：本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合阳县东大街29号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何耿琪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18892180876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15191081735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代理服务费按成交总金额计算。2、招标代理服务费的金额参照国家发展计划委员会计价格[2002]1980号文件、国家发展和改革委员会办公厅颁发的《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合阳县人民政府办公室</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联系电话：15191081735</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“智慧合阳”集成管理指挥中心及社会治理网格化信息平台运维服务项目。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智慧合阳集成管理指挥中心及社会治理网格化信息平台运维服务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标的名称：智慧合阳集成管理指挥中心及社会治理网格化信息平台运维服务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21"/>
              </w:rPr>
              <w:t>一、项目概况</w:t>
            </w:r>
          </w:p>
          <w:p>
            <w:pPr>
              <w:pStyle w:val="null3"/>
              <w:ind w:firstLine="640"/>
              <w:jc w:val="left"/>
            </w:pPr>
            <w:r>
              <w:rPr>
                <w:rFonts w:ascii="仿宋_GB2312" w:hAnsi="仿宋_GB2312" w:cs="仿宋_GB2312" w:eastAsia="仿宋_GB2312"/>
                <w:sz w:val="21"/>
              </w:rPr>
              <w:t>“智慧合阳”集成管理指挥中心及社会治理网格化信息平台运维服务项目</w:t>
            </w:r>
          </w:p>
          <w:p>
            <w:pPr>
              <w:pStyle w:val="null3"/>
              <w:ind w:firstLine="640"/>
              <w:jc w:val="left"/>
            </w:pPr>
            <w:r>
              <w:rPr>
                <w:rFonts w:ascii="仿宋_GB2312" w:hAnsi="仿宋_GB2312" w:cs="仿宋_GB2312" w:eastAsia="仿宋_GB2312"/>
                <w:sz w:val="21"/>
              </w:rPr>
              <w:t>二、服务范围</w:t>
            </w:r>
          </w:p>
          <w:p>
            <w:pPr>
              <w:pStyle w:val="null3"/>
              <w:ind w:firstLine="640"/>
              <w:jc w:val="left"/>
            </w:pPr>
            <w:r>
              <w:rPr>
                <w:rFonts w:ascii="仿宋_GB2312" w:hAnsi="仿宋_GB2312" w:cs="仿宋_GB2312" w:eastAsia="仿宋_GB2312"/>
                <w:sz w:val="21"/>
              </w:rPr>
              <w:t>人社大楼七楼“智慧合阳”集成管理指挥中心及社会治理网格化信息平台</w:t>
            </w:r>
          </w:p>
          <w:p>
            <w:pPr>
              <w:pStyle w:val="null3"/>
              <w:ind w:firstLine="640"/>
              <w:jc w:val="left"/>
            </w:pPr>
            <w:r>
              <w:rPr>
                <w:rFonts w:ascii="仿宋_GB2312" w:hAnsi="仿宋_GB2312" w:cs="仿宋_GB2312" w:eastAsia="仿宋_GB2312"/>
                <w:sz w:val="21"/>
              </w:rPr>
              <w:t>三、运维服务内容</w:t>
            </w:r>
          </w:p>
          <w:p>
            <w:pPr>
              <w:pStyle w:val="null3"/>
              <w:ind w:firstLine="640"/>
              <w:jc w:val="left"/>
            </w:pPr>
            <w:r>
              <w:rPr>
                <w:rFonts w:ascii="仿宋_GB2312" w:hAnsi="仿宋_GB2312" w:cs="仿宋_GB2312" w:eastAsia="仿宋_GB2312"/>
                <w:sz w:val="21"/>
              </w:rPr>
              <w:t>（一）指挥中心综合线路系统</w:t>
            </w:r>
          </w:p>
          <w:p>
            <w:pPr>
              <w:pStyle w:val="null3"/>
              <w:ind w:firstLine="640"/>
              <w:jc w:val="left"/>
            </w:pPr>
            <w:r>
              <w:rPr>
                <w:rFonts w:ascii="仿宋_GB2312" w:hAnsi="仿宋_GB2312" w:cs="仿宋_GB2312" w:eastAsia="仿宋_GB2312"/>
                <w:sz w:val="21"/>
              </w:rPr>
              <w:t>1.定期（每月1次）对机房及办公区域的布线（cat6、光纤、HDML、电源线、音频线等）进行全面巡检，检查线缆外观是否有破损、老化，线缆标签是否清晰完整，若发现模糊或脱落及时更换线缆标签。</w:t>
            </w:r>
          </w:p>
          <w:p>
            <w:pPr>
              <w:pStyle w:val="null3"/>
              <w:ind w:firstLine="640"/>
              <w:jc w:val="left"/>
            </w:pPr>
            <w:r>
              <w:rPr>
                <w:rFonts w:ascii="仿宋_GB2312" w:hAnsi="仿宋_GB2312" w:cs="仿宋_GB2312" w:eastAsia="仿宋_GB2312"/>
                <w:sz w:val="21"/>
              </w:rPr>
              <w:t>2.每季度对布线链路进行性能测试，使用测线仪、光功率计检测传输速率、衰减值、串扰等参数，确保千兆以太网传输标准，测试数据留存归档。</w:t>
            </w:r>
          </w:p>
          <w:p>
            <w:pPr>
              <w:pStyle w:val="null3"/>
              <w:ind w:firstLine="640"/>
              <w:jc w:val="left"/>
            </w:pPr>
            <w:r>
              <w:rPr>
                <w:rFonts w:ascii="仿宋_GB2312" w:hAnsi="仿宋_GB2312" w:cs="仿宋_GB2312" w:eastAsia="仿宋_GB2312"/>
                <w:sz w:val="21"/>
              </w:rPr>
              <w:t>3.对布线机柜内的跳线、配线架进行整理，整理杂乱跳线，避免交叉缠绕，检查跳线接口是否牢固，对松动接口重新插拔固定，防止接触不良。</w:t>
            </w:r>
          </w:p>
          <w:p>
            <w:pPr>
              <w:pStyle w:val="null3"/>
              <w:ind w:firstLine="640"/>
              <w:jc w:val="left"/>
            </w:pPr>
            <w:r>
              <w:rPr>
                <w:rFonts w:ascii="仿宋_GB2312" w:hAnsi="仿宋_GB2312" w:cs="仿宋_GB2312" w:eastAsia="仿宋_GB2312"/>
                <w:sz w:val="21"/>
              </w:rPr>
              <w:t>4.接到布线故障报修后（如网络断连、传输卡顿），1小时内到达现场排查，通过分段测试定位故障点，如线缆断裂则更换同规格线缆，接口故障则修复或更换配线模块，24小时内恢复正常通信。</w:t>
            </w:r>
          </w:p>
          <w:p>
            <w:pPr>
              <w:pStyle w:val="null3"/>
              <w:ind w:firstLine="640"/>
              <w:jc w:val="left"/>
            </w:pPr>
            <w:r>
              <w:rPr>
                <w:rFonts w:ascii="仿宋_GB2312" w:hAnsi="仿宋_GB2312" w:cs="仿宋_GB2312" w:eastAsia="仿宋_GB2312"/>
                <w:sz w:val="21"/>
              </w:rPr>
              <w:t>5.配合新设备接入需求，提供布线服务，根据设备U数规划合理安装位置，新增设备、线缆永久标签，确保不影响原整体网络架构。</w:t>
            </w:r>
          </w:p>
          <w:p>
            <w:pPr>
              <w:pStyle w:val="null3"/>
              <w:ind w:firstLine="640"/>
              <w:jc w:val="left"/>
            </w:pPr>
            <w:r>
              <w:rPr>
                <w:rFonts w:ascii="仿宋_GB2312" w:hAnsi="仿宋_GB2312" w:cs="仿宋_GB2312" w:eastAsia="仿宋_GB2312"/>
                <w:sz w:val="21"/>
              </w:rPr>
              <w:t>（二）指挥中心网络设备系统</w:t>
            </w:r>
          </w:p>
          <w:p>
            <w:pPr>
              <w:pStyle w:val="null3"/>
              <w:ind w:firstLine="640"/>
              <w:jc w:val="left"/>
            </w:pPr>
            <w:r>
              <w:rPr>
                <w:rFonts w:ascii="仿宋_GB2312" w:hAnsi="仿宋_GB2312" w:cs="仿宋_GB2312" w:eastAsia="仿宋_GB2312"/>
                <w:sz w:val="21"/>
              </w:rPr>
              <w:t>1.每周通过网络管理平台对核心交换机、汇聚交换机、接入交换机、路由器、防火墙、IPS等设备进行运行状态监控，实时查看设备CPU使用率、内存占用、端口流量、带宽利用率、异常流量等性能指标，当指标超过阈值（CPU≥80%、内存≥85%）时触发告警，立即安排工程师分析处理问题。</w:t>
            </w:r>
          </w:p>
          <w:p>
            <w:pPr>
              <w:pStyle w:val="null3"/>
              <w:ind w:firstLine="640"/>
              <w:jc w:val="left"/>
            </w:pPr>
            <w:r>
              <w:rPr>
                <w:rFonts w:ascii="仿宋_GB2312" w:hAnsi="仿宋_GB2312" w:cs="仿宋_GB2312" w:eastAsia="仿宋_GB2312"/>
                <w:sz w:val="21"/>
              </w:rPr>
              <w:t>2.每周对设备配置文件进行备份，存储至本地及异地备份服务器，备份文件命名包含设备名称、备份日期，确保可追溯、可恢复，每月进行1次配置文件恢复测试，验证备份有效性。</w:t>
            </w:r>
          </w:p>
          <w:p>
            <w:pPr>
              <w:pStyle w:val="null3"/>
              <w:ind w:firstLine="640"/>
              <w:jc w:val="left"/>
            </w:pPr>
            <w:r>
              <w:rPr>
                <w:rFonts w:ascii="仿宋_GB2312" w:hAnsi="仿宋_GB2312" w:cs="仿宋_GB2312" w:eastAsia="仿宋_GB2312"/>
                <w:sz w:val="21"/>
              </w:rPr>
              <w:t>3.每季度对网络设备进行固件版本检查，对比厂商发布的最新稳定版本，若存在安全漏洞或功能优化需求，制定升级方案（含回滚预案），在非业务高峰期（如周末凌晨）完成固件或软件升级，避免影响指挥中心日常业务运行。</w:t>
            </w:r>
          </w:p>
          <w:p>
            <w:pPr>
              <w:pStyle w:val="null3"/>
              <w:ind w:firstLine="640"/>
              <w:jc w:val="left"/>
            </w:pPr>
            <w:r>
              <w:rPr>
                <w:rFonts w:ascii="仿宋_GB2312" w:hAnsi="仿宋_GB2312" w:cs="仿宋_GB2312" w:eastAsia="仿宋_GB2312"/>
                <w:sz w:val="21"/>
              </w:rPr>
              <w:t>4.处理网络故障时，遵循“先排查物理层，再检查数据链路层、网络层”的原则，使用ping、tracert、showcommands等工具定位故障，如交换机端口故障则关闭故障端口并启用备用端口，路由器配置错误则重新调整路由策略，确保故障在4小时内解决。</w:t>
            </w:r>
          </w:p>
          <w:p>
            <w:pPr>
              <w:pStyle w:val="null3"/>
              <w:ind w:firstLine="640"/>
              <w:jc w:val="left"/>
            </w:pPr>
            <w:r>
              <w:rPr>
                <w:rFonts w:ascii="仿宋_GB2312" w:hAnsi="仿宋_GB2312" w:cs="仿宋_GB2312" w:eastAsia="仿宋_GB2312"/>
                <w:sz w:val="21"/>
              </w:rPr>
              <w:t>5.每半年对网络架构进行优化评估，分析网络流量分布、业务访问路径，调整端口速率配置或增加链路聚合，提升网络整体传输效率和稳定性。</w:t>
            </w:r>
          </w:p>
          <w:p>
            <w:pPr>
              <w:pStyle w:val="null3"/>
              <w:ind w:firstLine="640"/>
              <w:jc w:val="left"/>
            </w:pPr>
            <w:r>
              <w:rPr>
                <w:rFonts w:ascii="仿宋_GB2312" w:hAnsi="仿宋_GB2312" w:cs="仿宋_GB2312" w:eastAsia="仿宋_GB2312"/>
                <w:sz w:val="21"/>
              </w:rPr>
              <w:t>（三）IT设备远程诊断服务及系统管理咨询服务</w:t>
            </w:r>
          </w:p>
          <w:p>
            <w:pPr>
              <w:pStyle w:val="null3"/>
              <w:ind w:firstLine="640"/>
              <w:jc w:val="left"/>
            </w:pPr>
            <w:r>
              <w:rPr>
                <w:rFonts w:ascii="仿宋_GB2312" w:hAnsi="仿宋_GB2312" w:cs="仿宋_GB2312" w:eastAsia="仿宋_GB2312"/>
                <w:sz w:val="21"/>
              </w:rPr>
              <w:t>通过电话、e-mail、在线的远程诊断快速了解现场情况，及时判断出设备的故障范围和故障点。采用远程诊断和远程服务将降低服务费用的支出，提高经济效益，从而进一步增强市场竞争力。</w:t>
            </w:r>
          </w:p>
          <w:p>
            <w:pPr>
              <w:pStyle w:val="null3"/>
              <w:ind w:firstLine="640"/>
              <w:jc w:val="left"/>
            </w:pPr>
            <w:r>
              <w:rPr>
                <w:rFonts w:ascii="仿宋_GB2312" w:hAnsi="仿宋_GB2312" w:cs="仿宋_GB2312" w:eastAsia="仿宋_GB2312"/>
                <w:sz w:val="21"/>
              </w:rPr>
              <w:t>同时通过提供符合未来业务增长需要的IT建设策略咨询，制定整体IT策略服务和发展路线图，支持企业未来业务发展需求；以第三方专业严谨的专业态度，为采购人规划IT建设方向。</w:t>
            </w:r>
          </w:p>
          <w:p>
            <w:pPr>
              <w:pStyle w:val="null3"/>
              <w:ind w:firstLine="640"/>
              <w:jc w:val="left"/>
            </w:pPr>
            <w:r>
              <w:rPr>
                <w:rFonts w:ascii="仿宋_GB2312" w:hAnsi="仿宋_GB2312" w:cs="仿宋_GB2312" w:eastAsia="仿宋_GB2312"/>
                <w:sz w:val="21"/>
              </w:rPr>
              <w:t>（四）设备、物资日常维护管理服务</w:t>
            </w:r>
          </w:p>
          <w:p>
            <w:pPr>
              <w:pStyle w:val="null3"/>
              <w:ind w:firstLine="640"/>
              <w:jc w:val="left"/>
            </w:pPr>
            <w:r>
              <w:rPr>
                <w:rFonts w:ascii="仿宋_GB2312" w:hAnsi="仿宋_GB2312" w:cs="仿宋_GB2312" w:eastAsia="仿宋_GB2312"/>
                <w:sz w:val="21"/>
              </w:rPr>
              <w:t>服务器、中央空调、UPS及机房消防、虚拟化系统等设备，物资期后的维修及日常维护。日常维护设备损坏时，有保修服务管理服务（保修服务包括维护、检测、设备免费维修和更换，提供的更换件不低于需要维修或现使用的产品档次）的设备，将提供送修服务；</w:t>
            </w:r>
          </w:p>
          <w:p>
            <w:pPr>
              <w:pStyle w:val="null3"/>
              <w:ind w:firstLine="640"/>
              <w:jc w:val="left"/>
            </w:pPr>
            <w:r>
              <w:rPr>
                <w:rFonts w:ascii="仿宋_GB2312" w:hAnsi="仿宋_GB2312" w:cs="仿宋_GB2312" w:eastAsia="仿宋_GB2312"/>
                <w:sz w:val="21"/>
              </w:rPr>
              <w:t>没有保修服务的设备，提供送修服务，由用户确认是否维修，如果维修由用户承担相关维修费用。</w:t>
            </w:r>
          </w:p>
          <w:p>
            <w:pPr>
              <w:pStyle w:val="null3"/>
              <w:ind w:firstLine="640"/>
              <w:jc w:val="left"/>
            </w:pPr>
            <w:r>
              <w:rPr>
                <w:rFonts w:ascii="仿宋_GB2312" w:hAnsi="仿宋_GB2312" w:cs="仿宋_GB2312" w:eastAsia="仿宋_GB2312"/>
                <w:sz w:val="21"/>
              </w:rPr>
              <w:t>（五）网络优化服务</w:t>
            </w:r>
          </w:p>
          <w:p>
            <w:pPr>
              <w:pStyle w:val="null3"/>
              <w:ind w:firstLine="640"/>
              <w:jc w:val="left"/>
            </w:pPr>
            <w:r>
              <w:rPr>
                <w:rFonts w:ascii="仿宋_GB2312" w:hAnsi="仿宋_GB2312" w:cs="仿宋_GB2312" w:eastAsia="仿宋_GB2312"/>
                <w:sz w:val="21"/>
              </w:rPr>
              <w:t>网络现状评估：确定拓扑结构、设备清单和使用情况。分析给出相应的网络优化建议。（包括：网络中的关键设备、关键路由/配置分析，为日常维护提供充分的量化依据；设备清单中系统软件版本号和关键特性，实时掌握网络状况）网络故障影响网络质量的主要因素。通过网络优化对网络曾经发生的故障，服务并根据维护记录进行核对和确认，通过统计分析可以帮助判断网络运行状况、提前发现网络问题。其主要功能为故障记录查询分析，即针对查询目标（包括网络、节点、路由、硬件设备、时间等）的告警、性能、故障等问题进行统计和分析，还可以专门针对设备故障进行统计和分析。</w:t>
            </w:r>
          </w:p>
          <w:p>
            <w:pPr>
              <w:pStyle w:val="null3"/>
              <w:ind w:firstLine="640"/>
              <w:jc w:val="left"/>
            </w:pPr>
            <w:r>
              <w:rPr>
                <w:rFonts w:ascii="仿宋_GB2312" w:hAnsi="仿宋_GB2312" w:cs="仿宋_GB2312" w:eastAsia="仿宋_GB2312"/>
                <w:sz w:val="21"/>
              </w:rPr>
              <w:t>运行环境评估：解各个传输设备节点的环境状况，为网络优化和业务优化提供辅助性依据</w:t>
            </w:r>
          </w:p>
          <w:p>
            <w:pPr>
              <w:pStyle w:val="null3"/>
              <w:ind w:firstLine="640"/>
              <w:jc w:val="left"/>
            </w:pPr>
            <w:r>
              <w:rPr>
                <w:rFonts w:ascii="仿宋_GB2312" w:hAnsi="仿宋_GB2312" w:cs="仿宋_GB2312" w:eastAsia="仿宋_GB2312"/>
                <w:sz w:val="21"/>
              </w:rPr>
              <w:t>（六）指挥中心LED大屏系统</w:t>
            </w:r>
          </w:p>
          <w:p>
            <w:pPr>
              <w:pStyle w:val="null3"/>
              <w:ind w:firstLine="640"/>
              <w:jc w:val="left"/>
            </w:pPr>
            <w:r>
              <w:rPr>
                <w:rFonts w:ascii="仿宋_GB2312" w:hAnsi="仿宋_GB2312" w:cs="仿宋_GB2312" w:eastAsia="仿宋_GB2312"/>
                <w:sz w:val="21"/>
              </w:rPr>
              <w:t>1.每日开启LED大屏前，检查大屏电源、信号连接线是否牢固，开启后查看屏幕显示是否完整，有无黑屏、花屏、亮线、死点等现象，色彩是否均匀，亮度、对比度是否符合室内显示标准（亮度≤500cd/㎡），发现异常立即关闭大屏排查。</w:t>
            </w:r>
          </w:p>
          <w:p>
            <w:pPr>
              <w:pStyle w:val="null3"/>
              <w:ind w:firstLine="640"/>
              <w:jc w:val="left"/>
            </w:pPr>
            <w:r>
              <w:rPr>
                <w:rFonts w:ascii="仿宋_GB2312" w:hAnsi="仿宋_GB2312" w:cs="仿宋_GB2312" w:eastAsia="仿宋_GB2312"/>
                <w:sz w:val="21"/>
              </w:rPr>
              <w:t>2.每周对LED大屏的控制软件进行检查，验证信号切换、分屏显示、画面缩放等功能是否正常，备份控制软件配置参数，若软件出现闪退、卡顿，重新安装或更新至稳定版本。</w:t>
            </w:r>
          </w:p>
          <w:p>
            <w:pPr>
              <w:pStyle w:val="null3"/>
              <w:ind w:firstLine="640"/>
              <w:jc w:val="left"/>
            </w:pPr>
            <w:r>
              <w:rPr>
                <w:rFonts w:ascii="仿宋_GB2312" w:hAnsi="仿宋_GB2312" w:cs="仿宋_GB2312" w:eastAsia="仿宋_GB2312"/>
                <w:sz w:val="21"/>
              </w:rPr>
              <w:t>3.每季度对LED大屏的硬件设备进行维护，拆卸屏体边框清理内部灰尘，检查LED灯珠、驱动板、电源模块的工作状态，测量驱动板电压是否稳定，对损坏的灯珠或模块进行更换，确保屏幕显示效果。</w:t>
            </w:r>
          </w:p>
          <w:p>
            <w:pPr>
              <w:pStyle w:val="null3"/>
              <w:ind w:firstLine="640"/>
              <w:jc w:val="left"/>
            </w:pPr>
            <w:r>
              <w:rPr>
                <w:rFonts w:ascii="仿宋_GB2312" w:hAnsi="仿宋_GB2312" w:cs="仿宋_GB2312" w:eastAsia="仿宋_GB2312"/>
                <w:sz w:val="21"/>
              </w:rPr>
              <w:t>4.每半年对LED大屏的散热及供电系统进行检查，清理散热风扇灰尘，检查供电线路是否有老化、破损，接头是否牢固，避免因散热不良或供电不稳定导致屏体故障。</w:t>
            </w:r>
          </w:p>
          <w:p>
            <w:pPr>
              <w:pStyle w:val="null3"/>
              <w:ind w:firstLine="640"/>
              <w:jc w:val="left"/>
            </w:pPr>
            <w:r>
              <w:rPr>
                <w:rFonts w:ascii="仿宋_GB2312" w:hAnsi="仿宋_GB2312" w:cs="仿宋_GB2312" w:eastAsia="仿宋_GB2312"/>
                <w:sz w:val="21"/>
              </w:rPr>
              <w:t>5.接到LED大屏故障报修后，2小时内到达现场，若为信号故障则检查信号线、信号处理器，若为硬件故障则更换故障部件（如电源、驱动板），修复后进行全屏显示测试，确保故障当天解决，恢复大屏正常使用。</w:t>
            </w:r>
          </w:p>
          <w:p>
            <w:pPr>
              <w:pStyle w:val="null3"/>
              <w:ind w:firstLine="640"/>
              <w:jc w:val="left"/>
            </w:pPr>
            <w:r>
              <w:rPr>
                <w:rFonts w:ascii="仿宋_GB2312" w:hAnsi="仿宋_GB2312" w:cs="仿宋_GB2312" w:eastAsia="仿宋_GB2312"/>
                <w:sz w:val="21"/>
              </w:rPr>
              <w:t>（七）指挥中心综合平台软件</w:t>
            </w:r>
          </w:p>
          <w:p>
            <w:pPr>
              <w:pStyle w:val="null3"/>
              <w:ind w:firstLine="640"/>
              <w:jc w:val="left"/>
            </w:pPr>
            <w:r>
              <w:rPr>
                <w:rFonts w:ascii="仿宋_GB2312" w:hAnsi="仿宋_GB2312" w:cs="仿宋_GB2312" w:eastAsia="仿宋_GB2312"/>
                <w:sz w:val="21"/>
              </w:rPr>
              <w:t>1.每日对综合平台软件（含数据采集、分析、展示功能）进行运行状态监控，查看数据接口是否正常（如与各子系统的数据同步是否及时），平台页面加载速度是否≤3秒，核心功能（如数据查询、报表生成）是否可用，出现异常立即排查接口或服务器问题。</w:t>
            </w:r>
          </w:p>
          <w:p>
            <w:pPr>
              <w:pStyle w:val="null3"/>
              <w:ind w:firstLine="640"/>
              <w:jc w:val="left"/>
            </w:pPr>
            <w:r>
              <w:rPr>
                <w:rFonts w:ascii="仿宋_GB2312" w:hAnsi="仿宋_GB2312" w:cs="仿宋_GB2312" w:eastAsia="仿宋_GB2312"/>
                <w:sz w:val="21"/>
              </w:rPr>
              <w:t>2.每周对平台软件的数据准确性进行校验，随机抽取部分数据（如网格化治理数据、设备运行数据）与源头数据对比，确保数据无缺失、无错误，若发现数据不一致，追溯数据同步流程，修复数据传输漏洞。</w:t>
            </w:r>
          </w:p>
          <w:p>
            <w:pPr>
              <w:pStyle w:val="null3"/>
              <w:ind w:firstLine="640"/>
              <w:jc w:val="left"/>
            </w:pPr>
            <w:r>
              <w:rPr>
                <w:rFonts w:ascii="仿宋_GB2312" w:hAnsi="仿宋_GB2312" w:cs="仿宋_GB2312" w:eastAsia="仿宋_GB2312"/>
                <w:sz w:val="21"/>
              </w:rPr>
              <w:t>3.每月根据业务需求优化平台功能，如新增数据统计维度、调整报表格式、优化操作界面布局，收集用户使用反馈，形成功能优化方案，经确认后在非业务高峰期完成更新部署。</w:t>
            </w:r>
          </w:p>
          <w:p>
            <w:pPr>
              <w:pStyle w:val="null3"/>
              <w:ind w:firstLine="640"/>
              <w:jc w:val="left"/>
            </w:pPr>
            <w:r>
              <w:rPr>
                <w:rFonts w:ascii="仿宋_GB2312" w:hAnsi="仿宋_GB2312" w:cs="仿宋_GB2312" w:eastAsia="仿宋_GB2312"/>
                <w:sz w:val="21"/>
              </w:rPr>
              <w:t>4.处理平台软件故障时，先通过日志分析定位故障原因（如代码BUG、数据库连接失败），若为紧急故障（如平台无法登录），1小时内启动应急方案（如切换至备用平台），同时修复故障，4小时内恢复主平台正常运行；非紧急故障24小时内解决。</w:t>
            </w:r>
          </w:p>
          <w:p>
            <w:pPr>
              <w:pStyle w:val="null3"/>
              <w:ind w:firstLine="640"/>
              <w:jc w:val="left"/>
            </w:pPr>
            <w:r>
              <w:rPr>
                <w:rFonts w:ascii="仿宋_GB2312" w:hAnsi="仿宋_GB2312" w:cs="仿宋_GB2312" w:eastAsia="仿宋_GB2312"/>
                <w:sz w:val="21"/>
              </w:rPr>
              <w:t>5.每季度对平台软件进行安全加固，配置访问控制策略，限制非法IP访问，对平台传输的数据进行加密处理，定期开展安全渗透测试，防范数据泄漏、非法入侵等安全风险。</w:t>
            </w:r>
          </w:p>
          <w:p>
            <w:pPr>
              <w:pStyle w:val="null3"/>
              <w:ind w:firstLine="640"/>
              <w:jc w:val="left"/>
            </w:pPr>
            <w:r>
              <w:rPr>
                <w:rFonts w:ascii="仿宋_GB2312" w:hAnsi="仿宋_GB2312" w:cs="仿宋_GB2312" w:eastAsia="仿宋_GB2312"/>
                <w:sz w:val="21"/>
              </w:rPr>
              <w:t>（八）网格化软件系统维护</w:t>
            </w:r>
          </w:p>
          <w:p>
            <w:pPr>
              <w:pStyle w:val="null3"/>
              <w:ind w:firstLine="640"/>
              <w:jc w:val="left"/>
            </w:pPr>
            <w:r>
              <w:rPr>
                <w:rFonts w:ascii="仿宋_GB2312" w:hAnsi="仿宋_GB2312" w:cs="仿宋_GB2312" w:eastAsia="仿宋_GB2312"/>
                <w:sz w:val="21"/>
              </w:rPr>
              <w:t>1.监控事件处置模块的运行状态，确保事件处置提交响应时间符合业务要求，查看处置流程是否自动触发，有无订单积压、状态异常（如处置失败）情况，发现问题及时处理。</w:t>
            </w:r>
          </w:p>
          <w:p>
            <w:pPr>
              <w:pStyle w:val="null3"/>
              <w:ind w:firstLine="640"/>
              <w:jc w:val="left"/>
            </w:pPr>
            <w:r>
              <w:rPr>
                <w:rFonts w:ascii="仿宋_GB2312" w:hAnsi="仿宋_GB2312" w:cs="仿宋_GB2312" w:eastAsia="仿宋_GB2312"/>
                <w:sz w:val="21"/>
              </w:rPr>
              <w:t>2.每月对软件系统的业务数据进行备份，备份内容包括事件数据、用户数据、处置记录等。</w:t>
            </w:r>
          </w:p>
          <w:p>
            <w:pPr>
              <w:pStyle w:val="null3"/>
              <w:ind w:firstLine="640"/>
              <w:jc w:val="left"/>
            </w:pPr>
            <w:r>
              <w:rPr>
                <w:rFonts w:ascii="仿宋_GB2312" w:hAnsi="仿宋_GB2312" w:cs="仿宋_GB2312" w:eastAsia="仿宋_GB2312"/>
                <w:sz w:val="21"/>
              </w:rPr>
              <w:t>3.处理网格化软件故障时，分类解决：事件无法上报则检查网络连接或表单验证规则，派单失败则排查流程配置或接收端权限，处置结果无法提交则修复数据提交接口，一般故障4小时内解决，复杂故障24小时内出具解决方案并跟踪修复。1.监控协同指挥模块的运行状态，确保事件处置提交响应时间符合业务要求，查看处置流程是否自动触发，有无订单积压、状态异常（如处置失败）情况，发现问题及时处理。</w:t>
            </w:r>
          </w:p>
          <w:p>
            <w:pPr>
              <w:pStyle w:val="null3"/>
              <w:ind w:firstLine="640"/>
              <w:jc w:val="left"/>
            </w:pPr>
            <w:r>
              <w:rPr>
                <w:rFonts w:ascii="仿宋_GB2312" w:hAnsi="仿宋_GB2312" w:cs="仿宋_GB2312" w:eastAsia="仿宋_GB2312"/>
                <w:sz w:val="21"/>
              </w:rPr>
              <w:t>4.每月对软件系统的业务数据进行备份，备份内容包括事件数据、用户数据、处置记录等。3.处理网格化软件故障时，分类解决：事件无法上报则检查网络连接或表单验证规则，派单失败则排查流程配置或接收端权限，处置结果无法提交则修复数据提交接口，一般故障4小时内解决，复杂故障24小时内出具解决方案并跟踪修复。1.监控综合考评模块的运行状态，确保事件处置提交响应时间符合业务要求，查看处置流程是否自动触发，有无订单积压、状态异常（如处置失败）情况，发现问题及时处理。</w:t>
            </w:r>
          </w:p>
          <w:p>
            <w:pPr>
              <w:pStyle w:val="null3"/>
              <w:ind w:firstLine="640"/>
              <w:jc w:val="left"/>
            </w:pPr>
            <w:r>
              <w:rPr>
                <w:rFonts w:ascii="仿宋_GB2312" w:hAnsi="仿宋_GB2312" w:cs="仿宋_GB2312" w:eastAsia="仿宋_GB2312"/>
                <w:sz w:val="21"/>
              </w:rPr>
              <w:t>5.每月对软件系统的业务数据进行备份，备份内容包括事件数据、用户数据、处置记录等。</w:t>
            </w:r>
          </w:p>
          <w:p>
            <w:pPr>
              <w:pStyle w:val="null3"/>
              <w:ind w:firstLine="640"/>
              <w:jc w:val="left"/>
            </w:pPr>
            <w:r>
              <w:rPr>
                <w:rFonts w:ascii="仿宋_GB2312" w:hAnsi="仿宋_GB2312" w:cs="仿宋_GB2312" w:eastAsia="仿宋_GB2312"/>
                <w:sz w:val="21"/>
              </w:rPr>
              <w:t>6.处理网格化软件故障时，分类解决：事件无法上报则检查网络连接或表单验证规则，派单失败则排查流程配置或接收端权限，处置结果无法提交则修复数据提交接口，一般故障4小时内解决，复杂故障24小时内出具解决方案并跟踪修复。1.监控移动应用模块的运行状态，确保事件上报、处置提交响应时间符合业务要求，查看处置流程是否自动触发，有无订单积压、状态异常（如上报/处置失败）情况，发现问题及时处理。</w:t>
            </w:r>
          </w:p>
          <w:p>
            <w:pPr>
              <w:pStyle w:val="null3"/>
              <w:ind w:firstLine="640"/>
              <w:jc w:val="left"/>
            </w:pPr>
            <w:r>
              <w:rPr>
                <w:rFonts w:ascii="仿宋_GB2312" w:hAnsi="仿宋_GB2312" w:cs="仿宋_GB2312" w:eastAsia="仿宋_GB2312"/>
                <w:sz w:val="21"/>
              </w:rPr>
              <w:t>7.每月对软件系统的业务数据进行备份，备份内容包括事件数据、用户数据、处置记录等。</w:t>
            </w:r>
          </w:p>
          <w:p>
            <w:pPr>
              <w:pStyle w:val="null3"/>
              <w:ind w:firstLine="640"/>
              <w:jc w:val="left"/>
            </w:pPr>
            <w:r>
              <w:rPr>
                <w:rFonts w:ascii="仿宋_GB2312" w:hAnsi="仿宋_GB2312" w:cs="仿宋_GB2312" w:eastAsia="仿宋_GB2312"/>
                <w:sz w:val="21"/>
              </w:rPr>
              <w:t>8.当网格员有使用反馈时，及时收集相关反馈意见，针对软件操作复杂、功能不完善等问题，制定优化方案，如简化事件上报表单、新增批量操作功能，在测试环境验证通过后，部署至生产环境，同时组织网格员进行操作培训。</w:t>
            </w:r>
          </w:p>
          <w:p>
            <w:pPr>
              <w:pStyle w:val="null3"/>
              <w:ind w:firstLine="640"/>
              <w:jc w:val="left"/>
            </w:pPr>
            <w:r>
              <w:rPr>
                <w:rFonts w:ascii="仿宋_GB2312" w:hAnsi="仿宋_GB2312" w:cs="仿宋_GB2312" w:eastAsia="仿宋_GB2312"/>
                <w:sz w:val="21"/>
              </w:rPr>
              <w:t>9.处理网格化软件故障时，分类解决：事件无法上报则检查网络连接或表单验证规则，派单失败则排查流程配置或接收端权限，处置结果无法提交则修复数据提交接口，一般故障4小时内解决，复杂故障24小时内出具解决方案并跟踪修复。1.监控基础支撑模块的运行状态，检查系统响应时间，查看处置流程是否自动触发，有无订单积压、状态异常情况，发现问题及时处理。</w:t>
            </w:r>
          </w:p>
          <w:p>
            <w:pPr>
              <w:pStyle w:val="null3"/>
              <w:ind w:firstLine="640"/>
              <w:jc w:val="left"/>
            </w:pPr>
            <w:r>
              <w:rPr>
                <w:rFonts w:ascii="仿宋_GB2312" w:hAnsi="仿宋_GB2312" w:cs="仿宋_GB2312" w:eastAsia="仿宋_GB2312"/>
                <w:sz w:val="21"/>
              </w:rPr>
              <w:t>10.每季度对软件系统进行性能优化，分析系统数据库查询效率、服务器资源占用情况，优化SQL语句、清理冗余数据，提升系统并发处理能力（支持同时在线网格员≥200人），确保系统在业务高峰期稳定运行。</w:t>
            </w:r>
          </w:p>
          <w:p>
            <w:pPr>
              <w:pStyle w:val="null3"/>
              <w:ind w:firstLine="640"/>
              <w:jc w:val="left"/>
            </w:pPr>
            <w:r>
              <w:rPr>
                <w:rFonts w:ascii="仿宋_GB2312" w:hAnsi="仿宋_GB2312" w:cs="仿宋_GB2312" w:eastAsia="仿宋_GB2312"/>
                <w:sz w:val="21"/>
              </w:rPr>
              <w:t>（九）网格化数据库维护</w:t>
            </w:r>
          </w:p>
          <w:p>
            <w:pPr>
              <w:pStyle w:val="null3"/>
              <w:ind w:firstLine="640"/>
              <w:jc w:val="left"/>
            </w:pPr>
            <w:r>
              <w:rPr>
                <w:rFonts w:ascii="仿宋_GB2312" w:hAnsi="仿宋_GB2312" w:cs="仿宋_GB2312" w:eastAsia="仿宋_GB2312"/>
                <w:sz w:val="21"/>
              </w:rPr>
              <w:t>1.对网格化数据库（如MySQL、Oracle）进行运行监控，查看数据库服务是否正常启动，监控CPU使用率、内存占用、磁盘I/O速率，检查数据库日志有无错误信息（如死锁、连接超时），当出现异常指标时立即分析处理。</w:t>
            </w:r>
          </w:p>
          <w:p>
            <w:pPr>
              <w:pStyle w:val="null3"/>
              <w:ind w:firstLine="640"/>
              <w:jc w:val="left"/>
            </w:pPr>
            <w:r>
              <w:rPr>
                <w:rFonts w:ascii="仿宋_GB2312" w:hAnsi="仿宋_GB2312" w:cs="仿宋_GB2312" w:eastAsia="仿宋_GB2312"/>
                <w:sz w:val="21"/>
              </w:rPr>
              <w:t>2.构建完善的备份体系，执行全量与增量备份操作。每月异地备份，备份文件按“数据库名称+备份日期+备份类型”命名，确保备份数据完整、可用，可支撑数据恢复需求。</w:t>
            </w:r>
          </w:p>
          <w:p>
            <w:pPr>
              <w:pStyle w:val="null3"/>
              <w:ind w:firstLine="640"/>
              <w:jc w:val="left"/>
            </w:pPr>
            <w:r>
              <w:rPr>
                <w:rFonts w:ascii="仿宋_GB2312" w:hAnsi="仿宋_GB2312" w:cs="仿宋_GB2312" w:eastAsia="仿宋_GB2312"/>
                <w:sz w:val="21"/>
              </w:rPr>
              <w:t>3.每月对数据库表空间进行管理，检查表空间使用率（确保≤80%），对使用率过高的表空间进行扩容，清理历史数据（如超过1年的已结案事件数据），归档至历史数据库，优化数据库存储结构。</w:t>
            </w:r>
          </w:p>
          <w:p>
            <w:pPr>
              <w:pStyle w:val="null3"/>
              <w:ind w:firstLine="640"/>
              <w:jc w:val="left"/>
            </w:pPr>
            <w:r>
              <w:rPr>
                <w:rFonts w:ascii="仿宋_GB2312" w:hAnsi="仿宋_GB2312" w:cs="仿宋_GB2312" w:eastAsia="仿宋_GB2312"/>
                <w:sz w:val="21"/>
              </w:rPr>
              <w:t>4.每季度对数据库进行性能优化，分析SQL语句执行计划，对执行效率低的SQL（如全表扫描语句）进行重构，创建合适的索引；检查数据库连接池配置，调整最大连接数、超时时间等参数，提升数据库响应速度。</w:t>
            </w:r>
          </w:p>
          <w:p>
            <w:pPr>
              <w:pStyle w:val="null3"/>
              <w:ind w:firstLine="640"/>
              <w:jc w:val="left"/>
            </w:pPr>
            <w:r>
              <w:rPr>
                <w:rFonts w:ascii="仿宋_GB2312" w:hAnsi="仿宋_GB2312" w:cs="仿宋_GB2312" w:eastAsia="仿宋_GB2312"/>
                <w:sz w:val="21"/>
              </w:rPr>
              <w:t>5.处理数据库故障时，先判断故障类型：若为数据库服务无法启动，检查配置文件、端口占用情况，重启服务；若为数据损坏，使用备份文件进行恢复，恢复后验证数据完整性，确保6小时内恢复数据库正常服务。</w:t>
            </w:r>
          </w:p>
          <w:p>
            <w:pPr>
              <w:pStyle w:val="null3"/>
              <w:ind w:firstLine="640"/>
              <w:jc w:val="left"/>
            </w:pPr>
            <w:r>
              <w:rPr>
                <w:rFonts w:ascii="仿宋_GB2312" w:hAnsi="仿宋_GB2312" w:cs="仿宋_GB2312" w:eastAsia="仿宋_GB2312"/>
                <w:sz w:val="21"/>
              </w:rPr>
              <w:t>（十）网格化GIS平台维护</w:t>
            </w:r>
          </w:p>
          <w:p>
            <w:pPr>
              <w:pStyle w:val="null3"/>
              <w:ind w:firstLine="640"/>
              <w:jc w:val="left"/>
            </w:pPr>
            <w:r>
              <w:rPr>
                <w:rFonts w:ascii="仿宋_GB2312" w:hAnsi="仿宋_GB2312" w:cs="仿宋_GB2312" w:eastAsia="仿宋_GB2312"/>
                <w:sz w:val="21"/>
              </w:rPr>
              <w:t>1.持续监测GIS平台核心功能运行状态包括：地图加载、POI搜索、空间查询（如区域内网格员分布、事件位置定位）、路径规划等功能是否正常，若出现地图偏移、功能失效，立即排查地图数据或服务接口问题。</w:t>
            </w:r>
          </w:p>
          <w:p>
            <w:pPr>
              <w:pStyle w:val="null3"/>
              <w:ind w:firstLine="640"/>
              <w:jc w:val="left"/>
            </w:pPr>
            <w:r>
              <w:rPr>
                <w:rFonts w:ascii="仿宋_GB2312" w:hAnsi="仿宋_GB2312" w:cs="仿宋_GB2312" w:eastAsia="仿宋_GB2312"/>
                <w:sz w:val="21"/>
              </w:rPr>
              <w:t>2.每月对GIS平台服务器的资源使用情况进行监控，查看地图瓦片存储目录的磁盘空间占用，清理过期的临时地图瓦片；监控GIS服务（如地图服务、空间分析服务）的响应时间，优化服务配置，提升平台访问速度。</w:t>
            </w:r>
          </w:p>
          <w:p>
            <w:pPr>
              <w:pStyle w:val="null3"/>
              <w:ind w:firstLine="640"/>
              <w:jc w:val="left"/>
            </w:pPr>
            <w:r>
              <w:rPr>
                <w:rFonts w:ascii="仿宋_GB2312" w:hAnsi="仿宋_GB2312" w:cs="仿宋_GB2312" w:eastAsia="仿宋_GB2312"/>
                <w:sz w:val="21"/>
              </w:rPr>
              <w:t>3.处理GIS平台故障时，若为地图无法加载，检查地图服务地址是否正确、网络是否通畅；若为空间分析功能错误，排查分析模型参数或数据格式，一般故障4小时内解决，涉及地图数据大规模修复的故障，24小时内完成并反馈。</w:t>
            </w:r>
          </w:p>
          <w:p>
            <w:pPr>
              <w:pStyle w:val="null3"/>
              <w:ind w:firstLine="640"/>
              <w:jc w:val="left"/>
            </w:pPr>
            <w:r>
              <w:rPr>
                <w:rFonts w:ascii="仿宋_GB2312" w:hAnsi="仿宋_GB2312" w:cs="仿宋_GB2312" w:eastAsia="仿宋_GB2312"/>
                <w:sz w:val="21"/>
              </w:rPr>
              <w:t>4.每季度对GIS平台进行安全检查，配置地图数据访问权限，防止未授权用户下载或篡改地图数据；对平台接口进行加密处理，防范接口被非法调用，同时开展平台性能压力测试，确保支持≥100人同时在线使用空间分析功能。</w:t>
            </w:r>
          </w:p>
          <w:p>
            <w:pPr>
              <w:pStyle w:val="null3"/>
              <w:ind w:firstLine="640"/>
              <w:jc w:val="left"/>
            </w:pPr>
            <w:r>
              <w:rPr>
                <w:rFonts w:ascii="仿宋_GB2312" w:hAnsi="仿宋_GB2312" w:cs="仿宋_GB2312" w:eastAsia="仿宋_GB2312"/>
                <w:sz w:val="21"/>
              </w:rPr>
              <w:t>（十一）网格化中间件维护</w:t>
            </w:r>
          </w:p>
          <w:p>
            <w:pPr>
              <w:pStyle w:val="null3"/>
              <w:ind w:firstLine="640"/>
              <w:jc w:val="left"/>
            </w:pPr>
            <w:r>
              <w:rPr>
                <w:rFonts w:ascii="仿宋_GB2312" w:hAnsi="仿宋_GB2312" w:cs="仿宋_GB2312" w:eastAsia="仿宋_GB2312"/>
                <w:sz w:val="21"/>
              </w:rPr>
              <w:t>1.监控中间件（如WebLogic、Tomcat、RabbitMQ）的运行状态，查看服务是否正常启动，通过中间件管理控制台查看线程池使用率（确保≤80%）、连接数、消息队列堆积情况，若出现线程池满、消息堆积超过1000条，立即处理。</w:t>
            </w:r>
          </w:p>
          <w:p>
            <w:pPr>
              <w:pStyle w:val="null3"/>
              <w:ind w:firstLine="640"/>
              <w:jc w:val="left"/>
            </w:pPr>
            <w:r>
              <w:rPr>
                <w:rFonts w:ascii="仿宋_GB2312" w:hAnsi="仿宋_GB2312" w:cs="仿宋_GB2312" w:eastAsia="仿宋_GB2312"/>
                <w:sz w:val="21"/>
              </w:rPr>
              <w:t>2.对中间件核心配置文件进行常态化管理，建立配置备份机制，包括服务器配置、连接池配置、消息队列配置等，备份文件存储至安全目录，若后续配置修改出现问题，可快速回滚至之前的稳定版本。</w:t>
            </w:r>
          </w:p>
          <w:p>
            <w:pPr>
              <w:pStyle w:val="null3"/>
              <w:ind w:firstLine="640"/>
              <w:jc w:val="left"/>
            </w:pPr>
            <w:r>
              <w:rPr>
                <w:rFonts w:ascii="仿宋_GB2312" w:hAnsi="仿宋_GB2312" w:cs="仿宋_GB2312" w:eastAsia="仿宋_GB2312"/>
                <w:sz w:val="21"/>
              </w:rPr>
              <w:t>3.每月对中间件进行性能调优，根据业务负载调整线程池大小、连接池最大连接数、消息队列最大缓存数等参数；清理中间件日志文件（保留最近7天日志），释放磁盘空间，避免日志占用过多资源。</w:t>
            </w:r>
          </w:p>
          <w:p>
            <w:pPr>
              <w:pStyle w:val="null3"/>
              <w:ind w:firstLine="640"/>
              <w:jc w:val="left"/>
            </w:pPr>
            <w:r>
              <w:rPr>
                <w:rFonts w:ascii="仿宋_GB2312" w:hAnsi="仿宋_GB2312" w:cs="仿宋_GB2312" w:eastAsia="仿宋_GB2312"/>
                <w:sz w:val="21"/>
              </w:rPr>
              <w:t>4.处理中间件故障时，先查看中间件日志定位故障原因，如WebLogic服务宕机，检查JVM内存配置是否不足，调整JVM堆内存大小后重启服务；如RabbitMQ消息消费失败，排查消费者程序或消息格式，修复后重新投递消息，确保6小时内恢复中间件正常服务。</w:t>
            </w:r>
          </w:p>
          <w:p>
            <w:pPr>
              <w:pStyle w:val="null3"/>
              <w:ind w:firstLine="640"/>
              <w:jc w:val="left"/>
            </w:pPr>
            <w:r>
              <w:rPr>
                <w:rFonts w:ascii="仿宋_GB2312" w:hAnsi="仿宋_GB2312" w:cs="仿宋_GB2312" w:eastAsia="仿宋_GB2312"/>
                <w:sz w:val="21"/>
              </w:rPr>
              <w:t>5.每季度对中间件进行版本检查，对比厂商发布的最新安全补丁和版本更新说明，若存在安全漏洞，制定升级计划，在测试环境验证升级无问题后，在非业务高峰期完成生产环境中间件升级，避免影响业务系统运行。</w:t>
            </w:r>
          </w:p>
          <w:p>
            <w:pPr>
              <w:pStyle w:val="null3"/>
              <w:ind w:firstLine="640"/>
              <w:jc w:val="left"/>
            </w:pPr>
            <w:r>
              <w:rPr>
                <w:rFonts w:ascii="仿宋_GB2312" w:hAnsi="仿宋_GB2312" w:cs="仿宋_GB2312" w:eastAsia="仿宋_GB2312"/>
                <w:sz w:val="21"/>
              </w:rPr>
              <w:t>（十二）网格化操作系统维护</w:t>
            </w:r>
          </w:p>
          <w:p>
            <w:pPr>
              <w:pStyle w:val="null3"/>
              <w:ind w:firstLine="640"/>
              <w:jc w:val="left"/>
            </w:pPr>
            <w:r>
              <w:rPr>
                <w:rFonts w:ascii="仿宋_GB2312" w:hAnsi="仿宋_GB2312" w:cs="仿宋_GB2312" w:eastAsia="仿宋_GB2312"/>
                <w:sz w:val="21"/>
              </w:rPr>
              <w:t>1.对网格化系统所用操作系统（如WindowsServer、Linux）进行状态检查，查看系统是否正常启动，桌面、服务进程是否运行正常，检查系统磁盘空间、CPU及内存占用率，确保系统资源充足。</w:t>
            </w:r>
          </w:p>
          <w:p>
            <w:pPr>
              <w:pStyle w:val="null3"/>
              <w:ind w:firstLine="640"/>
              <w:jc w:val="left"/>
            </w:pPr>
            <w:r>
              <w:rPr>
                <w:rFonts w:ascii="仿宋_GB2312" w:hAnsi="仿宋_GB2312" w:cs="仿宋_GB2312" w:eastAsia="仿宋_GB2312"/>
                <w:sz w:val="21"/>
              </w:rPr>
              <w:t>2.操作系统存在安全问题时，及时进行安全更新，下载并安装厂商发布的系统补丁（含安全补丁、功能补丁），安装前备份系统关键配置和数据，安装后重启系统（非业务高峰期），验证系统各项功能是否正常，防止补丁安装导致兼容性问题。</w:t>
            </w:r>
          </w:p>
          <w:p>
            <w:pPr>
              <w:pStyle w:val="null3"/>
              <w:ind w:firstLine="640"/>
              <w:jc w:val="left"/>
            </w:pPr>
            <w:r>
              <w:rPr>
                <w:rFonts w:ascii="仿宋_GB2312" w:hAnsi="仿宋_GB2312" w:cs="仿宋_GB2312" w:eastAsia="仿宋_GB2312"/>
                <w:sz w:val="21"/>
              </w:rPr>
              <w:t>3.对操作系统的用户账号进行管理，删除无效账号、禁用长期未登录账号，修改管理员账号密码（密码复杂度符合“大小写字母+数字+特殊符号”要求），配置账号登录锁定策略（5次错误登录锁定30分钟），提升系统安全性。</w:t>
            </w:r>
          </w:p>
          <w:p>
            <w:pPr>
              <w:pStyle w:val="null3"/>
              <w:ind w:firstLine="640"/>
              <w:jc w:val="left"/>
            </w:pPr>
            <w:r>
              <w:rPr>
                <w:rFonts w:ascii="仿宋_GB2312" w:hAnsi="仿宋_GB2312" w:cs="仿宋_GB2312" w:eastAsia="仿宋_GB2312"/>
                <w:sz w:val="21"/>
              </w:rPr>
              <w:t>4.每季度对操作系统进行性能优化，清理系统临时文件、回收站文件，禁用不必要的开机启动服务，优化系统启动项；对Linux系统，调整内核参数（如网络连接数、文件描述符数量），提升系统并发处理能力。</w:t>
            </w:r>
          </w:p>
          <w:p>
            <w:pPr>
              <w:pStyle w:val="null3"/>
              <w:ind w:firstLine="640"/>
              <w:jc w:val="left"/>
            </w:pPr>
            <w:r>
              <w:rPr>
                <w:rFonts w:ascii="仿宋_GB2312" w:hAnsi="仿宋_GB2312" w:cs="仿宋_GB2312" w:eastAsia="仿宋_GB2312"/>
                <w:sz w:val="21"/>
              </w:rPr>
              <w:t>5.处理操作系统故障时，若为系统无法启动，通过PE工具修复引导分区或恢复系统备份；若为系统蓝屏、死机，查看系统蓝屏日志定位故障硬件或驱动程序，更换故障硬件或更新驱动，确保8小时内恢复操作系统正常运行。</w:t>
            </w:r>
          </w:p>
          <w:p>
            <w:pPr>
              <w:pStyle w:val="null3"/>
              <w:ind w:firstLine="640"/>
              <w:jc w:val="left"/>
            </w:pPr>
            <w:r>
              <w:rPr>
                <w:rFonts w:ascii="仿宋_GB2312" w:hAnsi="仿宋_GB2312" w:cs="仿宋_GB2312" w:eastAsia="仿宋_GB2312"/>
                <w:sz w:val="21"/>
              </w:rPr>
              <w:t>（十三）网格化应用系统BUG修复</w:t>
            </w:r>
          </w:p>
          <w:p>
            <w:pPr>
              <w:pStyle w:val="null3"/>
              <w:ind w:firstLine="640"/>
              <w:jc w:val="left"/>
            </w:pPr>
            <w:r>
              <w:rPr>
                <w:rFonts w:ascii="仿宋_GB2312" w:hAnsi="仿宋_GB2312" w:cs="仿宋_GB2312" w:eastAsia="仿宋_GB2312"/>
                <w:sz w:val="21"/>
              </w:rPr>
              <w:t>1.建立BUG收集机制，通过网格员反馈、系统日志监控、定期测试收集网格化应用系统BUG，记录BUG现象、出现场景、影响范围（如单个功能、部分用户、全量用户），建立《BUG修复台账》。</w:t>
            </w:r>
          </w:p>
          <w:p>
            <w:pPr>
              <w:pStyle w:val="null3"/>
              <w:ind w:firstLine="640"/>
              <w:jc w:val="left"/>
            </w:pPr>
            <w:r>
              <w:rPr>
                <w:rFonts w:ascii="仿宋_GB2312" w:hAnsi="仿宋_GB2312" w:cs="仿宋_GB2312" w:eastAsia="仿宋_GB2312"/>
                <w:sz w:val="21"/>
              </w:rPr>
              <w:t>2.对收集的BUG进行优先级划分：P0级（紧急，如系统无法登录、数据无法提交），1小时内启动修复；P1级（高优先级，如功能报错但不影响核心流程），4小时内启动修复；P2级（一般，如界面显示异常），24小时内启动修复；P3级（优化类，如操作繁琐），纳入下一期迭代修复。</w:t>
            </w:r>
          </w:p>
          <w:p>
            <w:pPr>
              <w:pStyle w:val="null3"/>
              <w:ind w:firstLine="640"/>
              <w:jc w:val="left"/>
            </w:pPr>
            <w:r>
              <w:rPr>
                <w:rFonts w:ascii="仿宋_GB2312" w:hAnsi="仿宋_GB2312" w:cs="仿宋_GB2312" w:eastAsia="仿宋_GB2312"/>
                <w:sz w:val="21"/>
              </w:rPr>
              <w:t>3.BUG修复过程中，开发人员先复现BUG场景，分析代码逻辑定位问题根源，编写修复代码后在测试环境进行验证，测试通过后提交代码至版本管理系统，由测试人员进行回归测试，确保BUG彻底修复且无新问题引入。</w:t>
            </w:r>
          </w:p>
          <w:p>
            <w:pPr>
              <w:pStyle w:val="null3"/>
              <w:ind w:firstLine="640"/>
              <w:jc w:val="left"/>
            </w:pPr>
            <w:r>
              <w:rPr>
                <w:rFonts w:ascii="仿宋_GB2312" w:hAnsi="仿宋_GB2312" w:cs="仿宋_GB2312" w:eastAsia="仿宋_GB2312"/>
                <w:sz w:val="21"/>
              </w:rPr>
              <w:t>4.BUG修复完成后，及时更新《BUG修复台账》，记录修复时间、修复人员、修复方案，同时将修复结果反馈给上报BUG的网格员或相关人员，告知系统功能已恢复正常，收集用户验证反馈。</w:t>
            </w:r>
          </w:p>
          <w:p>
            <w:pPr>
              <w:pStyle w:val="null3"/>
              <w:ind w:firstLine="640"/>
              <w:jc w:val="left"/>
            </w:pPr>
            <w:r>
              <w:rPr>
                <w:rFonts w:ascii="仿宋_GB2312" w:hAnsi="仿宋_GB2312" w:cs="仿宋_GB2312" w:eastAsia="仿宋_GB2312"/>
                <w:sz w:val="21"/>
              </w:rPr>
              <w:t>5.对已修复的BUG进行复盘，统计BUG类型（如代码逻辑错误、数据处理错误、界面兼容性问题）、出现频率，分析BUG产生的原因（如需求理解偏差、测试不充分），制定改进措施（如加强需求评审、完善测试用例），减少后续BUG数量。</w:t>
            </w:r>
          </w:p>
          <w:p>
            <w:pPr>
              <w:pStyle w:val="null3"/>
              <w:ind w:firstLine="640"/>
              <w:jc w:val="left"/>
            </w:pPr>
            <w:r>
              <w:rPr>
                <w:rFonts w:ascii="仿宋_GB2312" w:hAnsi="仿宋_GB2312" w:cs="仿宋_GB2312" w:eastAsia="仿宋_GB2312"/>
                <w:sz w:val="21"/>
              </w:rPr>
              <w:t>6.须对以下系统现有BUG进行修复：系统时间与北京时间不一致；事件总数统计与事件来源统计数量不一致；事件可以派遣到街道，派遣不到镇。县级平台显示已派遣到镇，但镇级平台未接收到事件。</w:t>
            </w:r>
          </w:p>
          <w:p>
            <w:pPr>
              <w:pStyle w:val="null3"/>
              <w:ind w:firstLine="640"/>
              <w:jc w:val="left"/>
            </w:pPr>
            <w:r>
              <w:rPr>
                <w:rFonts w:ascii="仿宋_GB2312" w:hAnsi="仿宋_GB2312" w:cs="仿宋_GB2312" w:eastAsia="仿宋_GB2312"/>
                <w:sz w:val="21"/>
              </w:rPr>
              <w:t>四、服务质量、标准、期限、效率等要求</w:t>
            </w:r>
          </w:p>
          <w:p>
            <w:pPr>
              <w:pStyle w:val="null3"/>
              <w:ind w:firstLine="640"/>
              <w:jc w:val="left"/>
            </w:pPr>
            <w:r>
              <w:rPr>
                <w:rFonts w:ascii="仿宋_GB2312" w:hAnsi="仿宋_GB2312" w:cs="仿宋_GB2312" w:eastAsia="仿宋_GB2312"/>
                <w:sz w:val="21"/>
              </w:rPr>
              <w:t>（一）服务期：一年（招一延一，一年服务期满后经甲方验收考核合格，可与乙方续签合同）。</w:t>
            </w:r>
          </w:p>
          <w:p>
            <w:pPr>
              <w:pStyle w:val="null3"/>
              <w:ind w:firstLine="640"/>
              <w:jc w:val="left"/>
            </w:pPr>
            <w:r>
              <w:rPr>
                <w:rFonts w:ascii="仿宋_GB2312" w:hAnsi="仿宋_GB2312" w:cs="仿宋_GB2312" w:eastAsia="仿宋_GB2312"/>
                <w:sz w:val="21"/>
              </w:rPr>
              <w:t>服务地点：采购人指定地点</w:t>
            </w:r>
          </w:p>
          <w:p>
            <w:pPr>
              <w:pStyle w:val="null3"/>
              <w:ind w:firstLine="640"/>
              <w:jc w:val="left"/>
            </w:pPr>
            <w:r>
              <w:rPr>
                <w:rFonts w:ascii="仿宋_GB2312" w:hAnsi="仿宋_GB2312" w:cs="仿宋_GB2312" w:eastAsia="仿宋_GB2312"/>
                <w:sz w:val="21"/>
              </w:rPr>
              <w:t>（二）服务标准：</w:t>
            </w:r>
          </w:p>
          <w:p>
            <w:pPr>
              <w:pStyle w:val="null3"/>
              <w:ind w:firstLine="640"/>
              <w:jc w:val="left"/>
            </w:pPr>
            <w:r>
              <w:rPr>
                <w:rFonts w:ascii="仿宋_GB2312" w:hAnsi="仿宋_GB2312" w:cs="仿宋_GB2312" w:eastAsia="仿宋_GB2312"/>
                <w:sz w:val="21"/>
              </w:rPr>
              <w:t>1.服务商应配备专门服务小组和项目经理，分工明确，职责清晰（应有具体成员名单，包括姓名、所在公司、职务、职称、工作职责、联系方式等）；</w:t>
            </w:r>
          </w:p>
          <w:p>
            <w:pPr>
              <w:pStyle w:val="null3"/>
              <w:ind w:firstLine="640"/>
              <w:jc w:val="left"/>
            </w:pPr>
            <w:r>
              <w:rPr>
                <w:rFonts w:ascii="仿宋_GB2312" w:hAnsi="仿宋_GB2312" w:cs="仿宋_GB2312" w:eastAsia="仿宋_GB2312"/>
                <w:sz w:val="21"/>
              </w:rPr>
              <w:t>2.服务商应当有服务保障措施，如对服务态度、服务质量较差的所有服务人员有具体处罚办法。</w:t>
            </w:r>
          </w:p>
          <w:p>
            <w:pPr>
              <w:pStyle w:val="null3"/>
              <w:ind w:firstLine="640"/>
              <w:jc w:val="left"/>
            </w:pPr>
            <w:r>
              <w:rPr>
                <w:rFonts w:ascii="仿宋_GB2312" w:hAnsi="仿宋_GB2312" w:cs="仿宋_GB2312" w:eastAsia="仿宋_GB2312"/>
                <w:sz w:val="21"/>
              </w:rPr>
              <w:t>3.服务商应当为本项目配备专业设备。</w:t>
            </w:r>
          </w:p>
          <w:p>
            <w:pPr>
              <w:pStyle w:val="null3"/>
              <w:ind w:firstLine="640"/>
              <w:jc w:val="left"/>
            </w:pPr>
            <w:r>
              <w:rPr>
                <w:rFonts w:ascii="仿宋_GB2312" w:hAnsi="仿宋_GB2312" w:cs="仿宋_GB2312" w:eastAsia="仿宋_GB2312"/>
                <w:sz w:val="21"/>
              </w:rPr>
              <w:t>4.服务商对客户回访有所安排并记录。</w:t>
            </w:r>
          </w:p>
          <w:p>
            <w:pPr>
              <w:pStyle w:val="null3"/>
              <w:jc w:val="both"/>
            </w:pPr>
            <w:r>
              <w:rPr>
                <w:rFonts w:ascii="仿宋_GB2312" w:hAnsi="仿宋_GB2312" w:cs="仿宋_GB2312" w:eastAsia="仿宋_GB2312"/>
                <w:sz w:val="21"/>
              </w:rPr>
              <w:t xml:space="preserve">      5.服务商应当设有单独投诉举报电话，有专人接听记录、受理。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服务商应配备专门服务小组和项目经理，分工明确，职责清晰（应有具体成员名单，包括姓名、所在公司、职务、职称、工作职责、联系方式等）。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服务商应当为本项目配备专业设备。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体的服务目标如下：（1）提供方便快捷的运维服务，确保智慧合阳集成管理指挥中心所有业务系统、网络系统等安全可靠地运行；（2）最大程度地简化了复杂的管理维护并保护了用户在设备上的投资；（3）高效快速地处理用户在日常工作中遇到的问题及网络故障，为用户排忧解难；（4）用户可更专注于自身业务核心系统，提高业务运行质量。 2、需满足的要求：通过对基础系统与软件系统的运维服务，确保智慧合阳集成管理指挥中心和合阳县网格化社会治理信息系统正常稳定运行，确保网络设备、应用系统等能安全、可靠地运行，能及时处理突发的网络故障、业务系统故障等，保证用户现有的信息系统的正常运行，降低整体管理成本，提高信息系统的整体服务水平，保证用户信息系统的各类业务应用系统的可靠、高效、持续、安全运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一年（招一延一，一年服务期满后经甲方考核合格，可与乙方续签合同）。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合同签订后支付当年全部项目款，具体支付时间，由甲乙双方沟通确定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1、本项目实际采购人为合阳县大数据中心。 2、服务期满后，采购人根据采购文件和投标（响应）文件响应的服务项，针对乙方的运维服务进行测评，测评合格续签下一年合同。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（1）有效的主体资格：企业法人具有有效的营业执照（具备统一社会信用代码）；事业法人应具有有效的事业单位法人证；其他组织应具有合法证明文件；自然人具有身份证明文件； 备注：银行、保险、石油石化、电力、电信等行业分支机构参与本项目磋商时，磋商响应文件中须提供相关授权文件。 （2）财务状况报告：供应商是法人的，提供2024年度或2025年度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 （3）税收缴纳证明：提供2025年4月1日以来任意一个月税收缴纳证明（至少包含增值税或企业所得税其中一种），依法免税或无需缴纳税收的单位应提供相关证明材料； （4）社会保障资金缴纳证明：提供2025年4月1日以来任意一个月的社会保障资金缴存单据或社保机构开具的社会保险参保缴费情况证明，依法不需要缴纳社会保障资金的单位应提供相关证明材料； （5）具备履行合同所必需的设备和专业技术能力的证明材料（书面声明）；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采购文件其他章节中对无效投标（响应）的规定。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w:t>
            </w:r>
          </w:p>
        </w:tc>
        <w:tc>
          <w:tcPr>
            <w:tcW w:type="dxa" w:w="2492"/>
          </w:tcPr>
          <w:p>
            <w:pPr>
              <w:pStyle w:val="null3"/>
            </w:pPr>
            <w:r>
              <w:rPr>
                <w:rFonts w:ascii="仿宋_GB2312" w:hAnsi="仿宋_GB2312" w:cs="仿宋_GB2312" w:eastAsia="仿宋_GB2312"/>
              </w:rPr>
              <w:t>供应商能够对现有智慧合阳集成管理智慧中心及社会治理网格化信息平台应用体系、数据体系、基础环境等建设运行情况进行详细说明。 （1）全面阐述以上内容，能够清晰地表述现有智慧合阳集成管理智慧中心及社会治理网格化信息平台应用体系、数据体系、基础环境等运行现状：得7分； （2）基本能够对现有智慧合阳集成管理智慧中心及社会治理网格化信息平台应用体系、数据体系、基础环境都有涉及，但阐述不准确：得4分； （3）对现有智慧合阳集成管理智慧中心及社会治理网格化信息平台应用体系、数据体系、基础环境理解阐述内容简单粗略：得2分；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指挥中心综合线路系统运维方案</w:t>
            </w:r>
          </w:p>
        </w:tc>
        <w:tc>
          <w:tcPr>
            <w:tcW w:type="dxa" w:w="2492"/>
          </w:tcPr>
          <w:p>
            <w:pPr>
              <w:pStyle w:val="null3"/>
            </w:pPr>
            <w:r>
              <w:rPr>
                <w:rFonts w:ascii="仿宋_GB2312" w:hAnsi="仿宋_GB2312" w:cs="仿宋_GB2312" w:eastAsia="仿宋_GB2312"/>
              </w:rPr>
              <w:t>供应商须提供指挥中心综合线路系统运维方案，包括巡检频次、运维方案、报修方案等。 全面阐述以上内容，能够清晰详细表述：7分； 每个方面都有涉及，理解与分析不够充分：4分； 不能有效对以上几方面进行理解与分析：得2分。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指挥中心网络设备系统运维方案</w:t>
            </w:r>
          </w:p>
        </w:tc>
        <w:tc>
          <w:tcPr>
            <w:tcW w:type="dxa" w:w="2492"/>
          </w:tcPr>
          <w:p>
            <w:pPr>
              <w:pStyle w:val="null3"/>
            </w:pPr>
            <w:r>
              <w:rPr>
                <w:rFonts w:ascii="仿宋_GB2312" w:hAnsi="仿宋_GB2312" w:cs="仿宋_GB2312" w:eastAsia="仿宋_GB2312"/>
              </w:rPr>
              <w:t>供应商须提供指挥中心网络设备系统运维方案，包括网络设备运维方案、备份方案、网络故障处置方案等。 （1）全面阐述以上内容，能够清晰详细表述：得7分； （2）每个方面都有涉及，理解与分析不够充分：得4分； （3）不能有效对以上几方面进行理解与分析：得2分。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IT设备远程诊断服务及系统管理咨询服务方案</w:t>
            </w:r>
          </w:p>
        </w:tc>
        <w:tc>
          <w:tcPr>
            <w:tcW w:type="dxa" w:w="2492"/>
          </w:tcPr>
          <w:p>
            <w:pPr>
              <w:pStyle w:val="null3"/>
            </w:pPr>
            <w:r>
              <w:rPr>
                <w:rFonts w:ascii="仿宋_GB2312" w:hAnsi="仿宋_GB2312" w:cs="仿宋_GB2312" w:eastAsia="仿宋_GB2312"/>
              </w:rPr>
              <w:t>根据项目特征，提供IT设备远程诊断服务及系统管理咨询服务方案。 （1）服务方案详尽、可行，7分； （2）服务方案可行但不详尽，4分； （3）服务方案内容简单粗略：得2分。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设备、物资日常维护管理服务方案</w:t>
            </w:r>
          </w:p>
        </w:tc>
        <w:tc>
          <w:tcPr>
            <w:tcW w:type="dxa" w:w="2492"/>
          </w:tcPr>
          <w:p>
            <w:pPr>
              <w:pStyle w:val="null3"/>
            </w:pPr>
            <w:r>
              <w:rPr>
                <w:rFonts w:ascii="仿宋_GB2312" w:hAnsi="仿宋_GB2312" w:cs="仿宋_GB2312" w:eastAsia="仿宋_GB2312"/>
              </w:rPr>
              <w:t>根据项目特征，提供设备、物资日常维护管理服务方案。 （1）服务方案详尽、可行，7分； （2）服务方案可行但不详尽，4分； （3）服务方案内容简单粗略：得2分。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网络优化服务方案</w:t>
            </w:r>
          </w:p>
        </w:tc>
        <w:tc>
          <w:tcPr>
            <w:tcW w:type="dxa" w:w="2492"/>
          </w:tcPr>
          <w:p>
            <w:pPr>
              <w:pStyle w:val="null3"/>
            </w:pPr>
            <w:r>
              <w:rPr>
                <w:rFonts w:ascii="仿宋_GB2312" w:hAnsi="仿宋_GB2312" w:cs="仿宋_GB2312" w:eastAsia="仿宋_GB2312"/>
              </w:rPr>
              <w:t>根据项目特征，提供网络优化服务方案。 （1）服务方案详尽、可行，7分； （2）服务方案可行但不详尽，4分； （3）服务方案内容简单粗略：得2分。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网格化软件系统运维方案</w:t>
            </w:r>
          </w:p>
        </w:tc>
        <w:tc>
          <w:tcPr>
            <w:tcW w:type="dxa" w:w="2492"/>
          </w:tcPr>
          <w:p>
            <w:pPr>
              <w:pStyle w:val="null3"/>
            </w:pPr>
            <w:r>
              <w:rPr>
                <w:rFonts w:ascii="仿宋_GB2312" w:hAnsi="仿宋_GB2312" w:cs="仿宋_GB2312" w:eastAsia="仿宋_GB2312"/>
              </w:rPr>
              <w:t>供应商须提供协同指挥模块、综合考评模块、移动应用模块、基础支撑模块等专项运维方案，包括但不限于系统运行状态监控、业务数据备份、系统功能优化、软件故障处理等。 （1）专项运维方案详尽、可行，7分； （2）专项运维方案可行但不详尽，4分； （3）专项运维方案内容简单粗略：得2分。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网格化应用系统BUG修复方案</w:t>
            </w:r>
          </w:p>
        </w:tc>
        <w:tc>
          <w:tcPr>
            <w:tcW w:type="dxa" w:w="2492"/>
          </w:tcPr>
          <w:p>
            <w:pPr>
              <w:pStyle w:val="null3"/>
            </w:pPr>
            <w:r>
              <w:rPr>
                <w:rFonts w:ascii="仿宋_GB2312" w:hAnsi="仿宋_GB2312" w:cs="仿宋_GB2312" w:eastAsia="仿宋_GB2312"/>
              </w:rPr>
              <w:t>供应商须对现有网格化应用系统BUG产生原因进行分析，记录BUG现象、出现场景、影响范围，并进行优先级划分，根据优先级针对性提供BUG修复方案。 （1）BUG成因分析准确、优先级判定无误、修复方案充分可行：得6分； （2）BUG成因分析相对准确、优先级判定准确、修复方案相对可行：得3分； （3）BUG成因分析模糊、优先级判定有误、修复方案不充分不充实：得1分； 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供应商管理规章制度齐全，有完善的管理组织架构，有标准的服务模型，有标准化服务流程。 （1）内容完整详细、表述清晰明确、针对性充足：得6分； （2）内容基本完整详细，表述基本清晰，内容简单或有轻微瑕疵，有一定针对性：得3分； （3）内容不够完整，表述不够清晰 ，内容简单或有瑕疵，针对性不充足：得1分；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拟派项目负责人岗位职能、技术人员岗位配置方案。 （1）人员岗位分工配置合理、技术服务能力强：得6分； （2）人员岗位分工配置、技术服务能力一般：得3分； （3）人员岗位分工配置模糊，分工不明：得1分； 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结合采购需求，供应商应制定合理培训计划，安排经验丰富的培训讲师，提出合理的培训方案，保障各岗位人员熟练掌握系统。 （1）能够结合采购人现有业务流程体系，针对不同岗位制定针对性的培训课程，且内容定位准确划分清晰：得6分； （2）培训流程描述简单，针对性一般：得3分； （3）培训方案内容粗略，不详尽：得1分未； 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针对本项目提供应急措施保障，内容包含①突发情况、重大活动保障；②应急处理响应时间；③应急人数及人员安排；④保障措施； （1）内容完整详细、表述清晰明确、针对性充足且完全满足项目需求：得6分； （2）内容基本完整详细，表述基本清晰，内容简单或有轻微瑕疵，有一定针对性，基本满足项目需求，得3分； （3）内容不够完整，表述不够清晰 ，内容简单且或有瑕疵，针对性不充足，不能满足项目需求，得1分； 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售后服务方案（包括售后服务人员配备，售后服务流程，售后服务响应时间，售后巡查及维护安排，售后服务监督与奖惩，售后服务管理，客诉渠道等）及售后承诺 （1）方案及承诺详细、可实施性强，有完整的服务体系，得6分； （2）方案及承诺售后服务方案及售后承诺详细、可实施性强，服务体系不健全得3分； （3）售后服务方案及售后承诺简单、不尽合理，得1分。不提供不得分。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2、有效最低评审价格得15分。 3、其他报价得分按（有效最低评审价格/评审价格）×15的公式计算其得分。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详见附件：合同文本---“智慧合阳”集成管理指挥中心及社会治理网格化信息平台运维服务项目.docx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