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版本号：ZY2025-10-0220251011001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澄城县古徵全民健身中心建设项目初步设计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ZY2025-10-02</w:t>
      </w:r>
      <w:r>
        <w:br/>
      </w:r>
      <w:r>
        <w:br/>
      </w:r>
      <w:r>
        <w:br/>
      </w:r>
    </w:p>
    <w:p>
      <w:pPr>
        <w:pStyle w:val="null3"/>
        <w:jc w:val="center"/>
        <w:outlineLvl w:val="2"/>
      </w:pPr>
      <w:r>
        <w:rPr>
          <w:rFonts w:ascii="仿宋_GB2312" w:hAnsi="仿宋_GB2312" w:cs="仿宋_GB2312" w:eastAsia="仿宋_GB2312"/>
          <w:sz w:val="28"/>
          <w:b/>
        </w:rPr>
        <w:t>澄城县体育运动中心</w:t>
      </w:r>
    </w:p>
    <w:p>
      <w:pPr>
        <w:pStyle w:val="null3"/>
        <w:jc w:val="center"/>
        <w:outlineLvl w:val="2"/>
      </w:pPr>
      <w:r>
        <w:rPr>
          <w:rFonts w:ascii="仿宋_GB2312" w:hAnsi="仿宋_GB2312" w:cs="仿宋_GB2312" w:eastAsia="仿宋_GB2312"/>
          <w:sz w:val="28"/>
          <w:b/>
        </w:rPr>
        <w:t>陕西正亚项目管理有限公司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陕西正亚项目管理有限公司</w:t>
      </w:r>
      <w:r>
        <w:rPr>
          <w:rFonts w:ascii="仿宋_GB2312" w:hAnsi="仿宋_GB2312" w:cs="仿宋_GB2312" w:eastAsia="仿宋_GB2312"/>
        </w:rPr>
        <w:t>（以下简称“代理机构”）受</w:t>
      </w:r>
      <w:r>
        <w:rPr>
          <w:rFonts w:ascii="仿宋_GB2312" w:hAnsi="仿宋_GB2312" w:cs="仿宋_GB2312" w:eastAsia="仿宋_GB2312"/>
        </w:rPr>
        <w:t>澄城县体育运动中心</w:t>
      </w:r>
      <w:r>
        <w:rPr>
          <w:rFonts w:ascii="仿宋_GB2312" w:hAnsi="仿宋_GB2312" w:cs="仿宋_GB2312" w:eastAsia="仿宋_GB2312"/>
        </w:rPr>
        <w:t>委托，拟对</w:t>
      </w:r>
      <w:r>
        <w:rPr>
          <w:rFonts w:ascii="仿宋_GB2312" w:hAnsi="仿宋_GB2312" w:cs="仿宋_GB2312" w:eastAsia="仿宋_GB2312"/>
        </w:rPr>
        <w:t>澄城县古徵全民健身中心建设项目初步设计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ZY2025-10-02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澄城县古徵全民健身中心建设项目初步设计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澄城县古徵全民健身中心建设项目初步设计、施工图设计，具体内容详见磋商文件第3章。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采购包1（澄城县古徵全民健身中心建设项目初步设计）：属于专门面向中小企业采购。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1、供应商身份证明：具有独立承担民事责任能力，提供供应商合法注册的法人或其他组织的营业执照/事业单位法人证书/非企业专业服务机构执业许可证/民办非企业单位登记证书；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2、财务状况证明：财务状况证明(以下三种资料提供任意一种即可）：提供2024年度经审计的财务审计报告 (成立时间至开标时间不足一年的可提供成立后任意时段的资产负债表）或投标截止时间前六个月内其基本账户银行出具的资信证明或者信用担保机构出具的投标担保函；</w:t>
      </w:r>
    </w:p>
    <w:p>
      <w:pPr>
        <w:pStyle w:val="null3"/>
      </w:pPr>
      <w:r>
        <w:rPr>
          <w:rFonts w:ascii="仿宋_GB2312" w:hAnsi="仿宋_GB2312" w:cs="仿宋_GB2312" w:eastAsia="仿宋_GB2312"/>
        </w:rPr>
        <w:t>3、税收缴纳证明：税收缴纳证明：提供投标截止时间前六个月内任意一个月的纳税证明或完税证明（以税款所属期为准，依法免税的应提供相关证明材料）；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4、社会保障资金缴纳证明：社会保障资金缴纳证明：供应商提供本单位2025年至今已缴纳的至少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5、无重大违法记录声明：提供参加政府采购活动前三年内在经营活动中没有重大违法记录的书面声明；（详见附件，加盖投标人公章）</w:t>
      </w:r>
    </w:p>
    <w:p>
      <w:pPr>
        <w:pStyle w:val="null3"/>
      </w:pPr>
      <w:r>
        <w:rPr>
          <w:rFonts w:ascii="仿宋_GB2312" w:hAnsi="仿宋_GB2312" w:cs="仿宋_GB2312" w:eastAsia="仿宋_GB2312"/>
        </w:rPr>
        <w:t>6、法定代表人（负责人）授权书：法定代表人（负责人）授权书，法定代表人（负责人）直接参加的不提供,但须出具本人身份证原件及复印件及被授权人身份证原件；（注：被授权人须为本单位在职员工并提供投标截止日前三个月社会保障资金凭证并加盖投标人公章）；法人的分支机构参与投标时，除提供《法定代表人授权委托书》外，还须同时提供法人给分支机构出具的授权书；</w:t>
      </w:r>
    </w:p>
    <w:p>
      <w:pPr>
        <w:pStyle w:val="null3"/>
      </w:pPr>
      <w:r>
        <w:rPr>
          <w:rFonts w:ascii="仿宋_GB2312" w:hAnsi="仿宋_GB2312" w:cs="仿宋_GB2312" w:eastAsia="仿宋_GB2312"/>
        </w:rPr>
        <w:t>7、信用中国：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为发售招标文件至开标当日，并加盖投标人公章）；</w:t>
      </w:r>
    </w:p>
    <w:p>
      <w:pPr>
        <w:pStyle w:val="null3"/>
      </w:pPr>
      <w:r>
        <w:rPr>
          <w:rFonts w:ascii="仿宋_GB2312" w:hAnsi="仿宋_GB2312" w:cs="仿宋_GB2312" w:eastAsia="仿宋_GB2312"/>
        </w:rPr>
        <w:t>8、单位负责人：单位负责人为同一人或者存在直接控股、管理关系的不同供应商，不得参加同一合同项下的政府采购活动（提供书面承诺函，格式自拟加盖投标人公章）；</w:t>
      </w:r>
    </w:p>
    <w:p>
      <w:pPr>
        <w:pStyle w:val="null3"/>
      </w:pPr>
      <w:r>
        <w:rPr>
          <w:rFonts w:ascii="仿宋_GB2312" w:hAnsi="仿宋_GB2312" w:cs="仿宋_GB2312" w:eastAsia="仿宋_GB2312"/>
        </w:rPr>
        <w:t>9、不接受联合体投标：本项目不接受联合体投标。（提供非联合体声明, 格式自拟加盖投标人公章）。</w:t>
      </w:r>
    </w:p>
    <w:p>
      <w:pPr>
        <w:pStyle w:val="null3"/>
      </w:pPr>
      <w:r>
        <w:rPr>
          <w:rFonts w:ascii="仿宋_GB2312" w:hAnsi="仿宋_GB2312" w:cs="仿宋_GB2312" w:eastAsia="仿宋_GB2312"/>
        </w:rPr>
        <w:t>10、供应商资质证明：具备建设行政主管部门颁发的工程设计综合甲级资质或建筑行业设计乙级资质或建筑行业（建筑工程）专业设计乙级资质；</w:t>
      </w:r>
    </w:p>
    <w:p>
      <w:pPr>
        <w:pStyle w:val="null3"/>
      </w:pPr>
      <w:r>
        <w:rPr>
          <w:rFonts w:ascii="仿宋_GB2312" w:hAnsi="仿宋_GB2312" w:cs="仿宋_GB2312" w:eastAsia="仿宋_GB2312"/>
        </w:rPr>
        <w:t>11、项目经理资质：拟任项目经理须具备【一级注册建筑师】或相关专业高级技术职称，并在本单位登记注册。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古徵街南段新体育场内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0913-6736500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陕西省西安市未央区陕西省西安市经济技术开发区明光路凤城六路旭弘西北广场第15层1501室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谢璐瑶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17791522074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15594255525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代理服务费收费标准：1、参照国家计委计价格[2002]1980号及发改办价格[2003]857号通知规定，由中标人支付招标代理服务费。 2、支付方式：中标人应在领取通知书的同时，向陕西正亚项目管理有限公司交纳本项目招标代理服务费。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澄城县体育运动中心</w:t>
      </w:r>
      <w:r>
        <w:rPr>
          <w:rFonts w:ascii="仿宋_GB2312" w:hAnsi="仿宋_GB2312" w:cs="仿宋_GB2312" w:eastAsia="仿宋_GB2312"/>
        </w:rPr>
        <w:t>和</w:t>
      </w:r>
      <w:r>
        <w:rPr>
          <w:rFonts w:ascii="仿宋_GB2312" w:hAnsi="仿宋_GB2312" w:cs="仿宋_GB2312" w:eastAsia="仿宋_GB2312"/>
        </w:rPr>
        <w:t>陕西正亚项目管理有限公司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澄城县体育运动中心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联系人：谢璐瑶</w:t>
      </w:r>
    </w:p>
    <w:p>
      <w:pPr>
        <w:pStyle w:val="null3"/>
      </w:pPr>
      <w:r>
        <w:rPr>
          <w:rFonts w:ascii="仿宋_GB2312" w:hAnsi="仿宋_GB2312" w:cs="仿宋_GB2312" w:eastAsia="仿宋_GB2312"/>
        </w:rPr>
        <w:t>联系电话：17791522074</w:t>
      </w:r>
    </w:p>
    <w:p>
      <w:pPr>
        <w:pStyle w:val="null3"/>
      </w:pPr>
      <w:r>
        <w:rPr>
          <w:rFonts w:ascii="仿宋_GB2312" w:hAnsi="仿宋_GB2312" w:cs="仿宋_GB2312" w:eastAsia="仿宋_GB2312"/>
        </w:rPr>
        <w:t>地址：陕西省西安市未央区陕西省西安市经济技术开发区明光路凤城六路旭弘西北广场第15层1501室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计价格[2002]10号《工程勘察设计收费管理规定》、发改价格[2015]299号《关于进一步放开建设项目专业服务价格的通知》，主要建设四类运动项目功能用房，包括球类(篮球、乒乓球、羽毛球)、健身类(健身房、跆拳道、瑜伽室)、棋牌类(棋牌室、台球室)和体操休闲类及附属用房。 总投资及资金来源:项目总投资2550.00万元，其中:工程费用2059.90万元，资金来源为申请中央预算内投资及建设单位自筹解决。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608,000.00</w:t>
      </w:r>
    </w:p>
    <w:p>
      <w:pPr>
        <w:pStyle w:val="null3"/>
      </w:pPr>
      <w:r>
        <w:rPr>
          <w:rFonts w:ascii="仿宋_GB2312" w:hAnsi="仿宋_GB2312" w:cs="仿宋_GB2312" w:eastAsia="仿宋_GB2312"/>
        </w:rPr>
        <w:t>采购包最高限价（元）: 608,000.00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澄城县古徵全民健身中心建设项目初步设计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标的名称：澄城县古徵全民健身中心建设项目初步设计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b/>
              </w:rPr>
              <w:t>一、基本要求</w:t>
            </w:r>
          </w:p>
          <w:p>
            <w:pPr>
              <w:pStyle w:val="null3"/>
              <w:ind w:firstLine="560"/>
              <w:jc w:val="both"/>
            </w:pPr>
            <w:r>
              <w:rPr>
                <w:rFonts w:ascii="仿宋_GB2312" w:hAnsi="仿宋_GB2312" w:cs="仿宋_GB2312" w:eastAsia="仿宋_GB2312"/>
                <w:sz w:val="28"/>
              </w:rPr>
              <w:t>1、功能要求：</w:t>
            </w:r>
            <w:r>
              <w:rPr>
                <w:rFonts w:ascii="仿宋_GB2312" w:hAnsi="仿宋_GB2312" w:cs="仿宋_GB2312" w:eastAsia="仿宋_GB2312"/>
                <w:sz w:val="28"/>
              </w:rPr>
              <w:t>完成澄城县古徵全民健身中心建设项目</w:t>
            </w:r>
            <w:r>
              <w:rPr>
                <w:rFonts w:ascii="仿宋_GB2312" w:hAnsi="仿宋_GB2312" w:cs="仿宋_GB2312" w:eastAsia="仿宋_GB2312"/>
                <w:sz w:val="28"/>
              </w:rPr>
              <w:t>初步设计</w:t>
            </w:r>
            <w:r>
              <w:rPr>
                <w:rFonts w:ascii="仿宋_GB2312" w:hAnsi="仿宋_GB2312" w:cs="仿宋_GB2312" w:eastAsia="仿宋_GB2312"/>
                <w:sz w:val="28"/>
              </w:rPr>
              <w:t>，取得相关管理部门批复</w:t>
            </w:r>
          </w:p>
          <w:p>
            <w:pPr>
              <w:pStyle w:val="null3"/>
              <w:ind w:right="-195" w:firstLine="480"/>
              <w:jc w:val="left"/>
            </w:pPr>
            <w:r>
              <w:rPr>
                <w:rFonts w:ascii="仿宋_GB2312" w:hAnsi="仿宋_GB2312" w:cs="仿宋_GB2312" w:eastAsia="仿宋_GB2312"/>
                <w:sz w:val="28"/>
                <w:color w:val="000000"/>
                <w:shd w:fill="FFFFFF" w:val="clear"/>
              </w:rPr>
              <w:t>2、采购项目需要落实的政府采购政策：</w:t>
            </w:r>
          </w:p>
          <w:p>
            <w:pPr>
              <w:pStyle w:val="null3"/>
              <w:ind w:right="-195" w:firstLine="480"/>
              <w:jc w:val="left"/>
            </w:pPr>
            <w:r>
              <w:rPr>
                <w:rFonts w:ascii="仿宋_GB2312" w:hAnsi="仿宋_GB2312" w:cs="仿宋_GB2312" w:eastAsia="仿宋_GB2312"/>
                <w:sz w:val="28"/>
                <w:color w:val="000000"/>
                <w:shd w:fill="FFFFFF" w:val="clear"/>
              </w:rPr>
              <w:t>1.1《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w:t>
            </w:r>
          </w:p>
          <w:p>
            <w:pPr>
              <w:pStyle w:val="null3"/>
              <w:ind w:right="-195" w:firstLine="480"/>
              <w:jc w:val="left"/>
            </w:pPr>
            <w:r>
              <w:rPr>
                <w:rFonts w:ascii="仿宋_GB2312" w:hAnsi="仿宋_GB2312" w:cs="仿宋_GB2312" w:eastAsia="仿宋_GB2312"/>
                <w:sz w:val="28"/>
                <w:color w:val="000000"/>
                <w:shd w:fill="FFFFFF" w:val="clear"/>
              </w:rPr>
              <w:t>1.2国务院办公厅《关于建立政府强制采购节能产品制度的通知》（国办发〔2007〕51号）、财政部、国家发改委、生态环境部、市场监督管理总局联合印发《关于调整优化节能产品、环境标志产品政府采购执行机制的通知》（财库〔2019〕9号）、《关于印发环境标志产品政府采购品目清单的通知》（财库〔2019〕18号）、《关于印发节能产品政府采购品目清单的通知》（财库〔2019〕19号）。</w:t>
            </w:r>
          </w:p>
          <w:p>
            <w:pPr>
              <w:pStyle w:val="null3"/>
              <w:ind w:right="-195" w:firstLine="480"/>
              <w:jc w:val="left"/>
            </w:pPr>
            <w:r>
              <w:rPr>
                <w:rFonts w:ascii="仿宋_GB2312" w:hAnsi="仿宋_GB2312" w:cs="仿宋_GB2312" w:eastAsia="仿宋_GB2312"/>
                <w:sz w:val="28"/>
                <w:color w:val="000000"/>
                <w:shd w:fill="FFFFFF" w:val="clear"/>
              </w:rPr>
              <w:t>1.3《财政部 农业农村部 国家乡村振兴局关于运用政府采购政策支持乡村产业振兴的通知》（财库〔2021〕19 号）、《财政部农业农村部国家乡村振兴局 中华全国供销合作总社关于印发&lt;关于深入开展政府采购脱贫地区农副产品工作推进乡村产业振兴的实施意见&gt;的通知》（财库〔2021〕20 号）。</w:t>
            </w:r>
          </w:p>
          <w:p>
            <w:pPr>
              <w:pStyle w:val="null3"/>
              <w:ind w:right="-195" w:firstLine="480"/>
              <w:jc w:val="left"/>
            </w:pPr>
            <w:r>
              <w:rPr>
                <w:rFonts w:ascii="仿宋_GB2312" w:hAnsi="仿宋_GB2312" w:cs="仿宋_GB2312" w:eastAsia="仿宋_GB2312"/>
                <w:sz w:val="28"/>
                <w:color w:val="000000"/>
                <w:shd w:fill="FFFFFF" w:val="clear"/>
              </w:rPr>
              <w:t>1.4《国家互联网信息办公室 工业和信息化部 公安部 财政部 国家认证认可监督管理委员会关于调整网络安全专用产品安全管理有关事项的公告》（2023年第1号）。</w:t>
            </w:r>
          </w:p>
          <w:p>
            <w:pPr>
              <w:pStyle w:val="null3"/>
              <w:ind w:right="-195" w:firstLine="480"/>
              <w:jc w:val="left"/>
            </w:pPr>
            <w:r>
              <w:rPr>
                <w:rFonts w:ascii="仿宋_GB2312" w:hAnsi="仿宋_GB2312" w:cs="仿宋_GB2312" w:eastAsia="仿宋_GB2312"/>
                <w:sz w:val="28"/>
                <w:color w:val="000000"/>
                <w:shd w:fill="FFFFFF" w:val="clear"/>
              </w:rPr>
              <w:t>1.5《陕西省财政厅关于加快推进我省中小企业政府采购信用融资工作的通知》（陕财办采〔2020〕15 号）、陕西省财政厅关于印发《陕西省中小企业政府采购信用融资办法》（陕财办采〔2018〕23 号）。</w:t>
            </w:r>
          </w:p>
          <w:p>
            <w:pPr>
              <w:pStyle w:val="null3"/>
              <w:ind w:right="-195" w:firstLine="480"/>
              <w:jc w:val="left"/>
            </w:pPr>
            <w:r>
              <w:rPr>
                <w:rFonts w:ascii="仿宋_GB2312" w:hAnsi="仿宋_GB2312" w:cs="仿宋_GB2312" w:eastAsia="仿宋_GB2312"/>
                <w:sz w:val="28"/>
                <w:color w:val="000000"/>
                <w:shd w:fill="FFFFFF" w:val="clear"/>
              </w:rPr>
              <w:t>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w:t>
            </w:r>
          </w:p>
          <w:p>
            <w:pPr>
              <w:pStyle w:val="null3"/>
              <w:ind w:right="-195" w:firstLine="482"/>
              <w:jc w:val="left"/>
            </w:pPr>
            <w:r>
              <w:rPr>
                <w:rFonts w:ascii="仿宋_GB2312" w:hAnsi="仿宋_GB2312" w:cs="仿宋_GB2312" w:eastAsia="仿宋_GB2312"/>
                <w:sz w:val="28"/>
                <w:color w:val="000000"/>
                <w:shd w:fill="FFFFFF" w:val="clear"/>
              </w:rPr>
              <w:t>若享受以上政策优惠的企业，提供相应声明函或品目清单范围内产品的有效认证证书。</w:t>
            </w:r>
          </w:p>
          <w:p>
            <w:pPr>
              <w:pStyle w:val="null3"/>
              <w:ind w:firstLine="560"/>
              <w:jc w:val="both"/>
            </w:pPr>
            <w:r>
              <w:rPr>
                <w:rFonts w:ascii="仿宋_GB2312" w:hAnsi="仿宋_GB2312" w:cs="仿宋_GB2312" w:eastAsia="仿宋_GB2312"/>
                <w:sz w:val="28"/>
              </w:rPr>
              <w:t>3、服务期限：</w:t>
            </w:r>
            <w:r>
              <w:rPr>
                <w:rFonts w:ascii="仿宋_GB2312" w:hAnsi="仿宋_GB2312" w:cs="仿宋_GB2312" w:eastAsia="仿宋_GB2312"/>
                <w:sz w:val="28"/>
              </w:rPr>
              <w:t>自合同签订之日起60</w:t>
            </w:r>
            <w:r>
              <w:rPr>
                <w:rFonts w:ascii="仿宋_GB2312" w:hAnsi="仿宋_GB2312" w:cs="仿宋_GB2312" w:eastAsia="仿宋_GB2312"/>
                <w:sz w:val="28"/>
              </w:rPr>
              <w:t>日历日交付设计成果</w:t>
            </w:r>
          </w:p>
          <w:p>
            <w:pPr>
              <w:pStyle w:val="null3"/>
              <w:ind w:firstLine="560"/>
              <w:jc w:val="both"/>
            </w:pPr>
            <w:r>
              <w:rPr>
                <w:rFonts w:ascii="仿宋_GB2312" w:hAnsi="仿宋_GB2312" w:cs="仿宋_GB2312" w:eastAsia="仿宋_GB2312"/>
                <w:sz w:val="28"/>
              </w:rPr>
              <w:t>4、服务地点：</w:t>
            </w:r>
            <w:r>
              <w:rPr>
                <w:rFonts w:ascii="仿宋_GB2312" w:hAnsi="仿宋_GB2312" w:cs="仿宋_GB2312" w:eastAsia="仿宋_GB2312"/>
                <w:sz w:val="28"/>
              </w:rPr>
              <w:t>渭南市澄城县</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b/>
              </w:rPr>
              <w:t>二、需执行的国家相关标准、行业标准、地方标准或者其他标准、规范标准</w:t>
            </w:r>
          </w:p>
          <w:p>
            <w:pPr>
              <w:pStyle w:val="null3"/>
              <w:ind w:firstLine="560"/>
              <w:jc w:val="both"/>
            </w:pPr>
            <w:r>
              <w:rPr>
                <w:rFonts w:ascii="仿宋_GB2312" w:hAnsi="仿宋_GB2312" w:cs="仿宋_GB2312" w:eastAsia="仿宋_GB2312"/>
                <w:sz w:val="28"/>
              </w:rPr>
              <w:t>执行最新标准、规范。</w:t>
            </w:r>
          </w:p>
          <w:p>
            <w:pPr>
              <w:pStyle w:val="null3"/>
              <w:ind w:firstLine="560"/>
              <w:jc w:val="both"/>
            </w:pPr>
            <w:r>
              <w:rPr>
                <w:rFonts w:ascii="仿宋_GB2312" w:hAnsi="仿宋_GB2312" w:cs="仿宋_GB2312" w:eastAsia="仿宋_GB2312"/>
                <w:sz w:val="28"/>
                <w:b/>
              </w:rPr>
              <w:t>三、服务指标的具体要求</w:t>
            </w:r>
          </w:p>
          <w:p>
            <w:pPr>
              <w:pStyle w:val="null3"/>
              <w:ind w:firstLine="562"/>
              <w:jc w:val="both"/>
            </w:pPr>
            <w:r>
              <w:rPr>
                <w:rFonts w:ascii="仿宋_GB2312" w:hAnsi="仿宋_GB2312" w:cs="仿宋_GB2312" w:eastAsia="仿宋_GB2312"/>
                <w:sz w:val="28"/>
              </w:rPr>
              <w:t>1、服务项目概况</w:t>
            </w:r>
            <w:r>
              <w:rPr>
                <w:rFonts w:ascii="仿宋_GB2312" w:hAnsi="仿宋_GB2312" w:cs="仿宋_GB2312" w:eastAsia="仿宋_GB2312"/>
                <w:sz w:val="28"/>
              </w:rPr>
              <w:t>：依据：计价格</w:t>
            </w:r>
            <w:r>
              <w:rPr>
                <w:rFonts w:ascii="仿宋_GB2312" w:hAnsi="仿宋_GB2312" w:cs="仿宋_GB2312" w:eastAsia="仿宋_GB2312"/>
                <w:sz w:val="28"/>
              </w:rPr>
              <w:t>[2002]10号_《工程勘察设计收费管理规定》、发改价格[2015]299号《关于进一步放开建设项目专业服务价格的通知》，主要建设四类运动项目功能用房，包括球类（篮球、乒乓球、羽毛球）、健身类（健身房、跆拳道、瑜伽室）、棋牌类（棋牌室、台球室）和体操休闲类及附属用房。</w:t>
            </w:r>
          </w:p>
          <w:p>
            <w:pPr>
              <w:pStyle w:val="null3"/>
              <w:ind w:firstLine="560"/>
              <w:jc w:val="left"/>
            </w:pPr>
            <w:r>
              <w:rPr>
                <w:rFonts w:ascii="仿宋_GB2312" w:hAnsi="仿宋_GB2312" w:cs="仿宋_GB2312" w:eastAsia="仿宋_GB2312"/>
                <w:sz w:val="28"/>
              </w:rPr>
              <w:t>总投资及资金来源：项目总投资</w:t>
            </w:r>
            <w:r>
              <w:rPr>
                <w:rFonts w:ascii="仿宋_GB2312" w:hAnsi="仿宋_GB2312" w:cs="仿宋_GB2312" w:eastAsia="仿宋_GB2312"/>
                <w:sz w:val="28"/>
              </w:rPr>
              <w:t>2550.00万元，其中：工程费用2059.90万元，资金来源为申请中央预算内投资及建设单位自筹解决。</w:t>
            </w:r>
          </w:p>
          <w:p>
            <w:pPr>
              <w:pStyle w:val="null3"/>
              <w:ind w:firstLine="560"/>
              <w:jc w:val="left"/>
            </w:pPr>
            <w:r>
              <w:rPr>
                <w:rFonts w:ascii="仿宋_GB2312" w:hAnsi="仿宋_GB2312" w:cs="仿宋_GB2312" w:eastAsia="仿宋_GB2312"/>
                <w:sz w:val="28"/>
              </w:rPr>
              <w:t>2、服务内容：</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.初步设计：初步设计根据修建性详细规划进行编制，并通过相关部门组织的评审且通过。</w:t>
            </w:r>
          </w:p>
          <w:p>
            <w:pPr>
              <w:pStyle w:val="null3"/>
              <w:ind w:firstLine="560"/>
              <w:jc w:val="left"/>
            </w:pPr>
            <w:r>
              <w:rPr>
                <w:rFonts w:ascii="仿宋_GB2312" w:hAnsi="仿宋_GB2312" w:cs="仿宋_GB2312" w:eastAsia="仿宋_GB2312"/>
                <w:sz w:val="28"/>
              </w:rPr>
              <w:t>项目初步设计纸质版、电子版文本按发改局评审要求提供，最终成果提交采购单位</w:t>
            </w:r>
            <w:r>
              <w:rPr>
                <w:rFonts w:ascii="仿宋_GB2312" w:hAnsi="仿宋_GB2312" w:cs="仿宋_GB2312" w:eastAsia="仿宋_GB2312"/>
                <w:sz w:val="28"/>
              </w:rPr>
              <w:t>3份；</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.施工图设计：施工图设计根据初步设计进行编制，并通过图审机构审查通过。</w:t>
            </w:r>
          </w:p>
          <w:p>
            <w:pPr>
              <w:pStyle w:val="null3"/>
              <w:ind w:firstLine="560"/>
              <w:jc w:val="left"/>
            </w:pPr>
            <w:r>
              <w:rPr>
                <w:rFonts w:ascii="仿宋_GB2312" w:hAnsi="仿宋_GB2312" w:cs="仿宋_GB2312" w:eastAsia="仿宋_GB2312"/>
                <w:sz w:val="28"/>
              </w:rPr>
              <w:t>施工图纸质版</w:t>
            </w:r>
            <w:r>
              <w:rPr>
                <w:rFonts w:ascii="仿宋_GB2312" w:hAnsi="仿宋_GB2312" w:cs="仿宋_GB2312" w:eastAsia="仿宋_GB2312"/>
                <w:sz w:val="28"/>
              </w:rPr>
              <w:t>6份、电子版</w:t>
            </w:r>
            <w:r>
              <w:rPr>
                <w:rFonts w:ascii="仿宋_GB2312" w:hAnsi="仿宋_GB2312" w:cs="仿宋_GB2312" w:eastAsia="仿宋_GB2312"/>
                <w:sz w:val="28"/>
              </w:rPr>
              <w:t>2</w:t>
            </w:r>
            <w:r>
              <w:rPr>
                <w:rFonts w:ascii="仿宋_GB2312" w:hAnsi="仿宋_GB2312" w:cs="仿宋_GB2312" w:eastAsia="仿宋_GB2312"/>
                <w:sz w:val="28"/>
              </w:rPr>
              <w:t>份提交采购单位，在建设过程中根据有关法律法规和采购方需求提供相关服务。</w:t>
            </w:r>
          </w:p>
          <w:p>
            <w:pPr>
              <w:pStyle w:val="null3"/>
              <w:ind w:firstLine="560"/>
              <w:jc w:val="left"/>
            </w:pPr>
            <w:r>
              <w:rPr>
                <w:rFonts w:ascii="仿宋_GB2312" w:hAnsi="仿宋_GB2312" w:cs="仿宋_GB2312" w:eastAsia="仿宋_GB2312"/>
                <w:sz w:val="28"/>
                <w:b/>
              </w:rPr>
              <w:t>四、</w:t>
            </w:r>
            <w:r>
              <w:rPr>
                <w:rFonts w:ascii="仿宋_GB2312" w:hAnsi="仿宋_GB2312" w:cs="仿宋_GB2312" w:eastAsia="仿宋_GB2312"/>
                <w:sz w:val="28"/>
                <w:b/>
              </w:rPr>
              <w:t>拟投入本项目的费用测算</w:t>
            </w:r>
          </w:p>
          <w:p>
            <w:pPr>
              <w:pStyle w:val="null3"/>
              <w:ind w:firstLine="560"/>
              <w:jc w:val="left"/>
            </w:pPr>
            <w:r>
              <w:rPr>
                <w:rFonts w:ascii="仿宋_GB2312" w:hAnsi="仿宋_GB2312" w:cs="仿宋_GB2312" w:eastAsia="仿宋_GB2312"/>
                <w:sz w:val="28"/>
              </w:rPr>
              <w:t>1、依据：计价格[2002]10号_《工程勘察设计收费管理规定》、发改价格[2015]299号《关于进一步放开建设项目专业服务价格的通知》</w:t>
            </w:r>
          </w:p>
          <w:p>
            <w:pPr>
              <w:pStyle w:val="null3"/>
              <w:ind w:firstLine="560"/>
              <w:jc w:val="left"/>
            </w:pPr>
            <w:r>
              <w:rPr>
                <w:rFonts w:ascii="仿宋_GB2312" w:hAnsi="仿宋_GB2312" w:cs="仿宋_GB2312" w:eastAsia="仿宋_GB2312"/>
                <w:sz w:val="28"/>
              </w:rPr>
              <w:t>2、设计服务总费用：60.8万元</w:t>
            </w:r>
          </w:p>
          <w:p>
            <w:pPr>
              <w:pStyle w:val="null3"/>
              <w:jc w:val="left"/>
            </w:pPr>
            <w:r>
              <w:rPr>
                <w:rFonts w:ascii="仿宋_GB2312" w:hAnsi="仿宋_GB2312" w:cs="仿宋_GB2312" w:eastAsia="仿宋_GB2312"/>
                <w:sz w:val="28"/>
              </w:rPr>
              <w:t>其中：（</w:t>
            </w:r>
            <w:r>
              <w:rPr>
                <w:rFonts w:ascii="仿宋_GB2312" w:hAnsi="仿宋_GB2312" w:cs="仿宋_GB2312" w:eastAsia="仿宋_GB2312"/>
                <w:sz w:val="28"/>
              </w:rPr>
              <w:t>1）初步设计：初设工程费2059.90*0.0295%*30%=18.23万元；（2）施工图设计：初设工程费2059.9万元*0.0295%*70%=42.57万元。</w:t>
            </w:r>
          </w:p>
          <w:p>
            <w:pPr>
              <w:pStyle w:val="null3"/>
              <w:jc w:val="left"/>
            </w:pPr>
            <w:r>
              <w:rPr>
                <w:rFonts w:ascii="仿宋_GB2312" w:hAnsi="仿宋_GB2312" w:cs="仿宋_GB2312" w:eastAsia="仿宋_GB2312"/>
                <w:sz w:val="28"/>
                <w:b/>
              </w:rPr>
              <w:t>五、</w:t>
            </w:r>
            <w:r>
              <w:rPr>
                <w:rFonts w:ascii="仿宋_GB2312" w:hAnsi="仿宋_GB2312" w:cs="仿宋_GB2312" w:eastAsia="仿宋_GB2312"/>
                <w:sz w:val="28"/>
                <w:b/>
              </w:rPr>
              <w:t>服务质量、标准、期限、效率等要求</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成果及质量要求：设计成果和文件完整、准确、可靠，符合国家有关工程建设法规、标准和合同要求，深度满足相应设计阶段有关规定要求。</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设计人应按合同约定以及发包人要求，完成合同约定的全部工作，并对工作中的任何缺陷进行整改、完善和修补，使其满足合同约定的目的。设计人应按合同约定提供设计文件及相关服务等。</w:t>
            </w:r>
          </w:p>
          <w:p>
            <w:pPr>
              <w:pStyle w:val="null3"/>
              <w:ind w:firstLine="560"/>
              <w:jc w:val="left"/>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发包人应当遵守法律和规范标准，不得以任何理由要求设计人违反法律和工程质量、安全标准进行设计服务，降低工程质量。</w:t>
            </w:r>
          </w:p>
          <w:p>
            <w:pPr>
              <w:pStyle w:val="null3"/>
              <w:ind w:firstLine="560"/>
              <w:jc w:val="left"/>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在履行合同过程中，由于发包人的下列原因造成设计服务期限延误的，发包人应当延长设计服务期限并增加设计费用，具体方法在合同专用条款中约定。</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1） 合同变更；</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 未按合同约定期限及时答复设计事项；</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3） 因发包人原因导致的暂停设计；</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4） 未按合同约定及时支付设计费用；</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5） 发包人提供的基准资料错误；</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6） 未及时按照履行合同约定的相关义务；</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7） 未能按照合同约定期限对设计文件进行审查；</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8） 发包人造成周期延误的其他原因。</w:t>
            </w:r>
          </w:p>
          <w:p>
            <w:pPr>
              <w:pStyle w:val="null3"/>
              <w:ind w:firstLine="560"/>
              <w:jc w:val="left"/>
            </w:pPr>
            <w:r>
              <w:rPr>
                <w:rFonts w:ascii="仿宋_GB2312" w:hAnsi="仿宋_GB2312" w:cs="仿宋_GB2312" w:eastAsia="仿宋_GB2312"/>
                <w:sz w:val="28"/>
              </w:rPr>
              <w:t>四、服务期限：自合同签订之日起</w:t>
            </w:r>
            <w:r>
              <w:rPr>
                <w:rFonts w:ascii="仿宋_GB2312" w:hAnsi="仿宋_GB2312" w:cs="仿宋_GB2312" w:eastAsia="仿宋_GB2312"/>
                <w:sz w:val="28"/>
              </w:rPr>
              <w:t>60日历日交付设计成果</w:t>
            </w:r>
          </w:p>
          <w:p>
            <w:pPr>
              <w:pStyle w:val="null3"/>
              <w:ind w:firstLine="560"/>
              <w:jc w:val="left"/>
            </w:pPr>
            <w:r>
              <w:rPr>
                <w:rFonts w:ascii="仿宋_GB2312" w:hAnsi="仿宋_GB2312" w:cs="仿宋_GB2312" w:eastAsia="仿宋_GB2312"/>
                <w:sz w:val="28"/>
              </w:rPr>
              <w:t>五、服务地点：渭南市澄城县</w:t>
            </w:r>
          </w:p>
          <w:p>
            <w:pPr>
              <w:pStyle w:val="null3"/>
              <w:ind w:firstLine="560"/>
              <w:jc w:val="both"/>
            </w:pPr>
            <w:r>
              <w:rPr>
                <w:rFonts w:ascii="仿宋_GB2312" w:hAnsi="仿宋_GB2312" w:cs="仿宋_GB2312" w:eastAsia="仿宋_GB2312"/>
                <w:sz w:val="28"/>
                <w:b/>
              </w:rPr>
              <w:t>六、付款方式</w:t>
            </w:r>
          </w:p>
          <w:p>
            <w:pPr>
              <w:pStyle w:val="null3"/>
              <w:ind w:firstLine="560"/>
              <w:jc w:val="both"/>
            </w:pPr>
            <w:r>
              <w:rPr>
                <w:rFonts w:ascii="仿宋_GB2312" w:hAnsi="仿宋_GB2312" w:cs="仿宋_GB2312" w:eastAsia="仿宋_GB2312"/>
                <w:sz w:val="28"/>
                <w:color w:val="000000"/>
              </w:rPr>
              <w:t>合同签订生效后，发包人支付合同价款10%，初步设计完成经评审后，发包人支付合同价款30%;交付设计成果后，发包人支付合同价款的55%;剩余合同价款5%待工程竣工交验完成后支付清。</w:t>
            </w:r>
          </w:p>
          <w:p>
            <w:pPr>
              <w:pStyle w:val="null3"/>
              <w:ind w:firstLine="560"/>
              <w:jc w:val="both"/>
            </w:pPr>
            <w:r>
              <w:rPr>
                <w:rFonts w:ascii="仿宋_GB2312" w:hAnsi="仿宋_GB2312" w:cs="仿宋_GB2312" w:eastAsia="仿宋_GB2312"/>
                <w:sz w:val="28"/>
                <w:b/>
              </w:rPr>
              <w:t>七、验收标准</w:t>
            </w:r>
          </w:p>
          <w:p>
            <w:pPr>
              <w:pStyle w:val="null3"/>
              <w:ind w:firstLine="560"/>
              <w:jc w:val="both"/>
            </w:pPr>
            <w:r>
              <w:rPr>
                <w:rFonts w:ascii="仿宋_GB2312" w:hAnsi="仿宋_GB2312" w:cs="仿宋_GB2312" w:eastAsia="仿宋_GB2312"/>
                <w:sz w:val="28"/>
              </w:rPr>
              <w:t>通过施工图联合审查审合格后，并取得施工图联合审查合格文件。</w:t>
            </w:r>
          </w:p>
          <w:p>
            <w:pPr>
              <w:pStyle w:val="null3"/>
              <w:ind w:firstLine="560"/>
              <w:jc w:val="right"/>
            </w:pPr>
            <w:r>
              <w:rPr>
                <w:rFonts w:ascii="仿宋_GB2312" w:hAnsi="仿宋_GB2312" w:cs="仿宋_GB2312" w:eastAsia="仿宋_GB2312"/>
                <w:sz w:val="28"/>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自合同签订之日起60日历日交付设计成果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渭南市澄城县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初步设计完成经评审后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交付设计成果后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工程竣工交验完成后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可邮寄），正本壹份、副本贰份、电子版壹份（U盘一份标明投标人名称，随正本密封）。若线上电子投标文件与纸质投标文件不一致的，以线上电子投标文件为准；若正本和副本不符，以正本为准。 线下递交文件时间：详见本项目招标公告提交投标文件截止时间；线下递交文件地点：陕西省西安市经济技术开发区明光路凤城六路旭弘西北广场第15层1501室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提供2024年度经审计的财务审计报告 (成立时间至开标时间不足一年的可提供成立后任意时段的资产负债表）或投标截止时间前六个月内其基本账户银行出具的资信证明或者信用担保机构出具的投标担保函；</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财务状况证明(以下三种资料提供任意一种即可）：提供2024年度经审计的财务审计报告 (成立时间至开标时间不足一年的可提供成立后任意时段的资产负债表）或投标截止时间前六个月内其基本账户银行出具的资信证明或者信用担保机构出具的投标担保函；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社会保障资金缴纳证明：供应商提供本单位2025年至今已缴纳的至少一个月的社会保障资金缴存单据或社保机构开具的社会保险参保缴费情况证明（依法不需要缴纳社会保障资金的投标人应提供相关证明）；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提供参加政府采购活动前三年内在经营活动中没有重大违法记录的书面声明；（详见附件，加盖投标人公章）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授权书，法定代表人（负责人）直接参加的不提供,但须出具本人身份证原件及复印件及被授权人身份证原件；（注：被授权人须为本单位在职员工并提供投标截止日前三个月社会保障资金凭证并加盖投标人公章）；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为发售招标文件至开标当日，并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本项目不接受联合体投标。（提供非联合体声明, 格式自拟加盖投标人公章）。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供应商资质证明</w:t>
            </w:r>
          </w:p>
        </w:tc>
        <w:tc>
          <w:tcPr>
            <w:tcW w:type="dxa" w:w="3322"/>
          </w:tcPr>
          <w:p>
            <w:pPr>
              <w:pStyle w:val="null3"/>
            </w:pPr>
            <w:r>
              <w:rPr>
                <w:rFonts w:ascii="仿宋_GB2312" w:hAnsi="仿宋_GB2312" w:cs="仿宋_GB2312" w:eastAsia="仿宋_GB2312"/>
              </w:rPr>
              <w:t>具备建设行政主管部门颁发的工程设计综合甲级资质或建筑行业设计乙级资质或建筑行业（建筑工程）专业设计乙级资质；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拟任项目经理须具备【一级注册建筑师】或相关专业高级技术职称，并在本单位登记注册。</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符合招标文件的实质性要求</w:t>
            </w:r>
          </w:p>
        </w:tc>
        <w:tc>
          <w:tcPr>
            <w:tcW w:type="dxa" w:w="3322"/>
          </w:tcPr>
          <w:p>
            <w:pPr>
              <w:pStyle w:val="null3"/>
            </w:pPr>
            <w:r>
              <w:rPr>
                <w:rFonts w:ascii="仿宋_GB2312" w:hAnsi="仿宋_GB2312" w:cs="仿宋_GB2312" w:eastAsia="仿宋_GB2312"/>
              </w:rPr>
              <w:t>供应商按照磋商文件要求上传响应文件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实质性响应的供应商报价，有可能影响产品质量或者不能诚信履约的，磋商小组应当要求其在评审现场合理的时间内提供成本构成书面说明，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不属于磋商文件规定的无效情形</w:t>
            </w:r>
          </w:p>
        </w:tc>
        <w:tc>
          <w:tcPr>
            <w:tcW w:type="dxa" w:w="3322"/>
          </w:tcPr>
          <w:p>
            <w:pPr>
              <w:pStyle w:val="null3"/>
            </w:pPr>
            <w:r>
              <w:rPr>
                <w:rFonts w:ascii="仿宋_GB2312" w:hAnsi="仿宋_GB2312" w:cs="仿宋_GB2312" w:eastAsia="仿宋_GB2312"/>
              </w:rPr>
              <w:t>有下列情形之一的，应在符合性审查时按照无效投标处理： (1)响应文件未按照采购文件规定要求签署、盖章的； (2)不满足本磋商文件中“服务期限、服务地点、支付方式及支付约定”的实质性条款要求的； (3)响应有效期不足的或无有效期的； (4)报价超过招标文件中规定的预算金额或最高限价的；(5)法律、法规和招标文件规定的其他无效情形。</w:t>
            </w:r>
          </w:p>
        </w:tc>
        <w:tc>
          <w:tcPr>
            <w:tcW w:type="dxa" w:w="1661"/>
          </w:tcPr>
          <w:p>
            <w:pPr>
              <w:pStyle w:val="null3"/>
            </w:pPr>
            <w:r>
              <w:rPr>
                <w:rFonts w:ascii="仿宋_GB2312" w:hAnsi="仿宋_GB2312" w:cs="仿宋_GB2312" w:eastAsia="仿宋_GB2312"/>
              </w:rPr>
              <w:t>响应文件封面 服务方案 标的清单 承诺书.docx 报价表 响应函 商务偏离表.docx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根据供应商对本项目的理解及分析程度进行赋分，对本项目的理解程度及需求分析思路是否清晰、内容是否全面，且能否高质量完成相关工作。 针对本项目服务内容理解全面、需求分析明确，能够紧扣项目实际情况分析，关键内容把握得当，计11.1-20分； 针对本项目理解单一、需求分析含糊，描述较详细，关键内容可行性不足，计5.1-11分； 针对本项目理解需求分析有偏差、关键内容阐述不明确，不利于项目实施，计0.1-5分； 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围绕本项目工作主题，对本项目的各项服务内容提供具体详细设计方案（包括但不限于设计思路、设计目标以及设计依据） 设计思路清晰、可实施性强，设计目标明确、有清晰的目标设计图、可行性高，设计依据规范、全面符合国家及行业规程及规范要求的根据响应情况计11.1-20分； 设计思路较清晰、可实施性较强，设计目标比较明确、有大概的目标设计图、可行性较高，设计依据较规范、全面根据响应情况计5.1-11分； 设计思路比较模糊、可实施性不高，设计目标不明确、目标设计图不清晰、可行性不高，设计依据较模糊根据响应情况计0.1-5分； 未提供不计分。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磋商小组根据供应商提供的针对本项目的进度安排（包括但不限于工作进度、各环节的工作程序和步骤等）进行打分 工作进度安排合理、明确，各环节工作衔接有序、步骤清晰，合理符合本项目日程要求的计7.1-10分； 工作进度安排基本合理、明确，各环节工作衔接时间节点把握较合理，较明确完整、步骤较清晰的基本符合本项目日程要求的计3.1-7分； 工作进度安排内容有所欠缺，各环节时间节点把握不够合理，针对性不强，步骤模糊的计0.1-3分；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根据供应商提供的服务团队其他成员配置内容（包括但不限于团队人员配置、团队专业能力及工作经验、团队管理方案）进行综合评分。 团队人员配置完整合理、分工明确、岗位职责明确、工作经验丰富、专业能力强、有制定完整合理可行的管理方案的计7.1-10分； 团队人员配置单一、分工基本合理、岗位职责较明确、有相应的工作经验、有相应管理方案基本可行的计3.1-7分； 团队人员配置不合理、岗位职责模糊、没有相应的工作经验、管理方案不可行根据响应情况计0.1-3分。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业绩：提供2023年以来至今同类项目合同（以合同签订日期为准），每提供1个得1分，最高得5分。 备注：响应文件中提供合同复印件加盖公章，原件现场备查，未提供原件的以复印件为准。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后期服务配合</w:t>
            </w:r>
          </w:p>
        </w:tc>
        <w:tc>
          <w:tcPr>
            <w:tcW w:type="dxa" w:w="2492"/>
          </w:tcPr>
          <w:p>
            <w:pPr>
              <w:pStyle w:val="null3"/>
            </w:pPr>
            <w:r>
              <w:rPr>
                <w:rFonts w:ascii="仿宋_GB2312" w:hAnsi="仿宋_GB2312" w:cs="仿宋_GB2312" w:eastAsia="仿宋_GB2312"/>
              </w:rPr>
              <w:t>磋商小组根据供应商针对本项目实施过程中出现的配合方案（包括但不限于与采购人沟通配合方案以及在项目实施中出现的各种问题等）以及其他突发事件的处理措施进行打分。 方案内容全面、完善具体，突发事件的处理措施流程完整，处理思路清晰，可操作性高，计7.1-10分； 方案内容较全面具体，突发事件的处理措施流程较完整，处理思路较清晰，可操作性较高，计3.1-7分； 方案内容基本全面具体，有基本的突发事件的处理措施的计0.1-3分。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磋商小组根据供应商针对本项目提供的质量保障措施进行打分（包括但不限于质量保障方案、质量控制体系等） 内容完整具体、科学合理、保障方案得力、针对项目需求且可行性强的计7.1-10分； 内容较完整具体、科学合理性较好、保障方案可行、针对项目需求且可行性较好的计3.1-7分； 内容基本合理可行略有欠缺、部分需进一步修改完善方可满足项目要求的计0.1-3分；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 价格分=(评标基准价／磋商报价)×报价分值 注：1、计算分数时四舍五入取小数点后两位； 2、落实政府采购政策：参见供应商须知前附表。</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