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keepNext w:val="0"/>
        <w:keepLines w:val="0"/>
        <w:pageBreakBefore w:val="0"/>
        <w:widowControl/>
        <w:kinsoku/>
        <w:wordWrap/>
        <w:overflowPunct/>
        <w:topLinePunct w:val="0"/>
        <w:autoSpaceDE/>
        <w:autoSpaceDN/>
        <w:bidi w:val="0"/>
        <w:adjustRightInd/>
        <w:snapToGrid/>
        <w:spacing w:line="460" w:lineRule="exact"/>
        <w:ind w:firstLine="1325" w:firstLineChars="300"/>
        <w:jc w:val="both"/>
        <w:textAlignment w:val="auto"/>
        <w:rPr>
          <w:rFonts w:hint="eastAsia" w:ascii="宋体" w:eastAsia="宋体"/>
          <w:sz w:val="44"/>
          <w:szCs w:val="44"/>
          <w:highlight w:val="none"/>
          <w:lang w:val="en-US" w:eastAsia="zh-CN"/>
        </w:rPr>
      </w:pPr>
      <w:r>
        <w:rPr>
          <w:rFonts w:hint="eastAsia" w:ascii="宋体" w:eastAsia="宋体"/>
          <w:sz w:val="44"/>
          <w:szCs w:val="44"/>
          <w:highlight w:val="none"/>
          <w:lang w:val="en-US" w:eastAsia="zh-CN"/>
        </w:rPr>
        <w:t>xxx(单位名称)xxx(项目名称)工程合同</w:t>
      </w:r>
    </w:p>
    <w:p/>
    <w:p>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合同签订地：陕西澄城</w:t>
      </w:r>
    </w:p>
    <w:p>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p>
    <w:p>
      <w:pPr>
        <w:tabs>
          <w:tab w:val="left" w:pos="5800"/>
        </w:tabs>
        <w:spacing w:line="560" w:lineRule="exact"/>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确认方：澄城县政府采购中心</w:t>
      </w:r>
    </w:p>
    <w:p>
      <w:pPr>
        <w:keepNext w:val="0"/>
        <w:keepLines w:val="0"/>
        <w:pageBreakBefore w:val="0"/>
        <w:widowControl w:val="0"/>
        <w:kinsoku w:val="0"/>
        <w:wordWrap/>
        <w:overflowPunct/>
        <w:topLinePunct w:val="0"/>
        <w:autoSpaceDE/>
        <w:autoSpaceDN/>
        <w:bidi w:val="0"/>
        <w:adjustRightInd/>
        <w:snapToGrid w:val="0"/>
        <w:spacing w:line="560" w:lineRule="exact"/>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根据《</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政府采购法》、《</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民法典》及相关法律法规，</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val="en-US" w:eastAsia="zh-CN"/>
        </w:rPr>
        <w:t>(单位名称)</w:t>
      </w:r>
      <w:r>
        <w:rPr>
          <w:rFonts w:hint="eastAsia" w:ascii="方正仿宋_GB2312" w:hAnsi="方正仿宋_GB2312" w:eastAsia="方正仿宋_GB2312" w:cs="方正仿宋_GB2312"/>
          <w:sz w:val="32"/>
          <w:szCs w:val="32"/>
        </w:rPr>
        <w:t xml:space="preserve"> 与</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eastAsia="zh-CN"/>
        </w:rPr>
        <w:t>（乙方）就</w:t>
      </w:r>
      <w:r>
        <w:rPr>
          <w:rFonts w:hint="eastAsia" w:ascii="方正仿宋_GB2312" w:hAnsi="方正仿宋_GB2312" w:eastAsia="方正仿宋_GB2312" w:cs="方正仿宋_GB2312"/>
          <w:sz w:val="32"/>
          <w:szCs w:val="32"/>
          <w:lang w:val="en-US" w:eastAsia="zh-CN"/>
        </w:rPr>
        <w:t>xxx（项目名称）</w:t>
      </w:r>
      <w:r>
        <w:rPr>
          <w:rFonts w:hint="eastAsia" w:ascii="方正仿宋_GB2312" w:hAnsi="方正仿宋_GB2312" w:eastAsia="方正仿宋_GB2312" w:cs="方正仿宋_GB2312"/>
          <w:sz w:val="32"/>
          <w:szCs w:val="32"/>
        </w:rPr>
        <w:t>事宜，本着诚实信用、互惠互利原则，结合双方实际，协商一致，签订本合同，以资共同恪守。</w:t>
      </w:r>
    </w:p>
    <w:p>
      <w:pPr>
        <w:numPr>
          <w:ilvl w:val="0"/>
          <w:numId w:val="2"/>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项目名称、金额 （工程量清单</w:t>
      </w:r>
      <w:r>
        <w:rPr>
          <w:rFonts w:hint="eastAsia" w:ascii="方正仿宋_GB2312" w:hAnsi="方正仿宋_GB2312" w:eastAsia="方正仿宋_GB2312" w:cs="方正仿宋_GB2312"/>
          <w:b/>
          <w:sz w:val="32"/>
          <w:szCs w:val="32"/>
          <w:lang w:eastAsia="zh-CN"/>
        </w:rPr>
        <w:t>详</w:t>
      </w:r>
      <w:r>
        <w:rPr>
          <w:rFonts w:hint="eastAsia" w:ascii="方正仿宋_GB2312" w:hAnsi="方正仿宋_GB2312" w:eastAsia="方正仿宋_GB2312" w:cs="方正仿宋_GB2312"/>
          <w:b/>
          <w:sz w:val="32"/>
          <w:szCs w:val="32"/>
        </w:rPr>
        <w:t>见投标文件）</w:t>
      </w:r>
    </w:p>
    <w:tbl>
      <w:tblPr>
        <w:tblStyle w:val="18"/>
        <w:tblpPr w:leftFromText="180" w:rightFromText="180" w:vertAnchor="text" w:horzAnchor="page" w:tblpX="1050" w:tblpY="191"/>
        <w:tblOverlap w:val="never"/>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56"/>
        <w:gridCol w:w="1725"/>
        <w:gridCol w:w="3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7" w:hRule="atLeast"/>
        </w:trPr>
        <w:tc>
          <w:tcPr>
            <w:tcW w:w="5056"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项目名称</w:t>
            </w:r>
          </w:p>
        </w:tc>
        <w:tc>
          <w:tcPr>
            <w:tcW w:w="1725"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数量</w:t>
            </w:r>
          </w:p>
        </w:tc>
        <w:tc>
          <w:tcPr>
            <w:tcW w:w="3157"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含税总金额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18" w:hRule="atLeast"/>
        </w:trPr>
        <w:tc>
          <w:tcPr>
            <w:tcW w:w="5056" w:type="dxa"/>
            <w:noWrap/>
            <w:tcMar>
              <w:top w:w="20" w:type="dxa"/>
              <w:left w:w="20" w:type="dxa"/>
              <w:bottom w:w="0" w:type="dxa"/>
              <w:right w:w="20" w:type="dxa"/>
            </w:tcMar>
            <w:vAlign w:val="center"/>
          </w:tcPr>
          <w:p>
            <w:pPr>
              <w:pStyle w:val="34"/>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方正仿宋_GB2312" w:hAnsi="方正仿宋_GB2312" w:eastAsia="方正仿宋_GB2312" w:cs="方正仿宋_GB2312"/>
                <w:sz w:val="32"/>
                <w:szCs w:val="32"/>
                <w:highlight w:val="none"/>
              </w:rPr>
            </w:pPr>
            <w:r>
              <w:rPr>
                <w:rFonts w:hint="eastAsia" w:ascii="宋体" w:eastAsia="宋体"/>
                <w:b w:val="0"/>
                <w:bCs/>
                <w:sz w:val="44"/>
                <w:szCs w:val="44"/>
                <w:highlight w:val="none"/>
                <w:lang w:val="en-US" w:eastAsia="zh-CN"/>
              </w:rPr>
              <w:t>xxx</w:t>
            </w:r>
          </w:p>
        </w:tc>
        <w:tc>
          <w:tcPr>
            <w:tcW w:w="1725" w:type="dxa"/>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1批</w:t>
            </w:r>
          </w:p>
        </w:tc>
        <w:tc>
          <w:tcPr>
            <w:tcW w:w="3157" w:type="dxa"/>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b w:val="0"/>
                <w:kern w:val="2"/>
                <w:sz w:val="32"/>
                <w:szCs w:val="32"/>
                <w:highlight w:val="none"/>
                <w:lang w:val="en-US" w:eastAsia="zh-CN" w:bidi="ar-SA"/>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1" w:hRule="atLeast"/>
        </w:trPr>
        <w:tc>
          <w:tcPr>
            <w:tcW w:w="9938" w:type="dxa"/>
            <w:gridSpan w:val="3"/>
            <w:noWrap/>
            <w:tcMar>
              <w:top w:w="20" w:type="dxa"/>
              <w:left w:w="20" w:type="dxa"/>
              <w:bottom w:w="0" w:type="dxa"/>
              <w:right w:w="20" w:type="dxa"/>
            </w:tcMar>
            <w:vAlign w:val="center"/>
          </w:tcPr>
          <w:p>
            <w:pPr>
              <w:spacing w:line="560" w:lineRule="exact"/>
              <w:jc w:val="both"/>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含税总金额：</w:t>
            </w:r>
            <w:r>
              <w:rPr>
                <w:rFonts w:hint="eastAsia" w:ascii="宋体" w:hAnsi="Times New Roman" w:eastAsia="宋体" w:cs="Times New Roman"/>
                <w:b w:val="0"/>
                <w:bCs/>
                <w:kern w:val="0"/>
                <w:sz w:val="30"/>
                <w:szCs w:val="30"/>
                <w:highlight w:val="none"/>
                <w:lang w:val="en-US" w:eastAsia="zh-CN" w:bidi="ar-SA"/>
              </w:rPr>
              <w:t>人民币XXX（</w:t>
            </w:r>
            <w:r>
              <w:rPr>
                <w:rFonts w:hint="eastAsia" w:ascii="宋体" w:cs="Times New Roman"/>
                <w:b w:val="0"/>
                <w:bCs/>
                <w:kern w:val="0"/>
                <w:sz w:val="30"/>
                <w:szCs w:val="30"/>
                <w:highlight w:val="none"/>
                <w:lang w:val="en-US" w:eastAsia="zh-CN" w:bidi="ar-SA"/>
              </w:rPr>
              <w:t>小写:</w:t>
            </w:r>
            <w:r>
              <w:rPr>
                <w:rFonts w:hint="eastAsia" w:ascii="宋体" w:hAnsi="Times New Roman" w:eastAsia="宋体" w:cs="Times New Roman"/>
                <w:b w:val="0"/>
                <w:bCs/>
                <w:kern w:val="0"/>
                <w:sz w:val="30"/>
                <w:szCs w:val="30"/>
                <w:highlight w:val="none"/>
                <w:lang w:val="en-US" w:eastAsia="zh-CN" w:bidi="ar-SA"/>
              </w:rPr>
              <w:t>￥0.00）</w:t>
            </w:r>
          </w:p>
        </w:tc>
      </w:tr>
    </w:tbl>
    <w:p>
      <w:pPr>
        <w:numPr>
          <w:ilvl w:val="0"/>
          <w:numId w:val="2"/>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承包范围及方式：</w:t>
      </w:r>
    </w:p>
    <w:p>
      <w:pPr>
        <w:spacing w:line="560" w:lineRule="exact"/>
        <w:ind w:firstLine="640" w:firstLineChars="200"/>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32"/>
          <w:szCs w:val="32"/>
        </w:rPr>
        <w:t>乙方实行人工和材料总承包，并严格按照施工方案组织施工，</w:t>
      </w:r>
      <w:r>
        <w:rPr>
          <w:rFonts w:hint="eastAsia" w:ascii="方正仿宋_GB2312" w:hAnsi="方正仿宋_GB2312" w:eastAsia="方正仿宋_GB2312" w:cs="方正仿宋_GB2312"/>
          <w:color w:val="000000"/>
          <w:sz w:val="32"/>
          <w:szCs w:val="32"/>
        </w:rPr>
        <w:t>具体条款以招标文件为准</w:t>
      </w:r>
      <w:r>
        <w:rPr>
          <w:rFonts w:hint="eastAsia" w:ascii="方正仿宋_GB2312" w:hAnsi="方正仿宋_GB2312" w:eastAsia="方正仿宋_GB2312" w:cs="方正仿宋_GB2312"/>
          <w:sz w:val="32"/>
          <w:szCs w:val="32"/>
        </w:rPr>
        <w:t>。</w:t>
      </w:r>
    </w:p>
    <w:p>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第三条、工期及施工地点：</w:t>
      </w:r>
    </w:p>
    <w:p>
      <w:pPr>
        <w:snapToGrid w:val="0"/>
        <w:spacing w:line="560" w:lineRule="exact"/>
        <w:ind w:firstLine="640" w:firstLineChars="200"/>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乙方自合同签订之日起</w:t>
      </w:r>
      <w:r>
        <w:rPr>
          <w:rFonts w:hint="eastAsia" w:ascii="宋体" w:eastAsia="宋体"/>
          <w:b/>
          <w:bCs/>
          <w:sz w:val="44"/>
          <w:szCs w:val="44"/>
          <w:highlight w:val="none"/>
          <w:u w:val="single"/>
          <w:lang w:val="en-US" w:eastAsia="zh-CN"/>
        </w:rPr>
        <w:t>xxx</w:t>
      </w:r>
      <w:r>
        <w:rPr>
          <w:rFonts w:hint="eastAsia" w:ascii="方正仿宋_GB2312" w:hAnsi="方正仿宋_GB2312" w:eastAsia="方正仿宋_GB2312" w:cs="方正仿宋_GB2312"/>
          <w:b/>
          <w:bCs/>
          <w:color w:val="000000"/>
          <w:sz w:val="32"/>
          <w:szCs w:val="32"/>
          <w:u w:val="single"/>
        </w:rPr>
        <w:t>日历天</w:t>
      </w:r>
      <w:r>
        <w:rPr>
          <w:rFonts w:hint="eastAsia" w:ascii="方正仿宋_GB2312" w:hAnsi="方正仿宋_GB2312" w:eastAsia="方正仿宋_GB2312" w:cs="方正仿宋_GB2312"/>
          <w:color w:val="000000"/>
          <w:sz w:val="32"/>
          <w:szCs w:val="32"/>
        </w:rPr>
        <w:t>内施工完成；</w:t>
      </w:r>
    </w:p>
    <w:p>
      <w:pPr>
        <w:snapToGrid w:val="0"/>
        <w:spacing w:line="56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color w:val="000000"/>
          <w:sz w:val="32"/>
          <w:szCs w:val="32"/>
        </w:rPr>
        <w:t>施工地点：</w:t>
      </w:r>
      <w:r>
        <w:rPr>
          <w:rFonts w:hint="eastAsia" w:ascii="方正仿宋_GB2312" w:hAnsi="方正仿宋_GB2312" w:eastAsia="方正仿宋_GB2312" w:cs="方正仿宋_GB2312"/>
          <w:sz w:val="32"/>
          <w:szCs w:val="32"/>
          <w:lang w:val="en-US" w:eastAsia="zh-CN"/>
        </w:rPr>
        <w:t>渭南市澄城县。</w:t>
      </w:r>
    </w:p>
    <w:p>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第四条、甲方责任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1、甲方指派驻工地代表，负责合同履行。对项目质量、进度进行监督检查，办理验收、变更、登记手续和其他事宜。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2、确实需要拆改原建筑物结构或设备管线，负责到有关部门办理相应审批手续。　　</w:t>
      </w:r>
    </w:p>
    <w:p>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第五条、乙方责任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1、乙方指派驻工地代表，负责合同履行。按要求组织施工，保质、保量、按期完成施工任务，解决由乙方负责的各项事宜。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2、严格执行施工规范、安全操作规程、防火安全规定，环境保护规定。严格按照图纸或施工说明进行施工，做好各项质量检查记录。参加竣工验收。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遵守国家或地方政府及有关部门对施工现场管理的规定，妥善保护好施工现场周围建筑物不受损坏，若造成破坏由乙方负责维修并承担相关费用。做好施工现场保卫和垃圾消纳等工作，处理好由于施工带来的扰民问题及与周围单位（住户）的关系。 　　</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rPr>
        <w:t>4、施工中未经甲方同意或有关部门批准，不得随意</w:t>
      </w:r>
      <w:r>
        <w:rPr>
          <w:rFonts w:hint="eastAsia" w:ascii="方正仿宋_GB2312" w:hAnsi="方正仿宋_GB2312" w:eastAsia="方正仿宋_GB2312" w:cs="方正仿宋_GB2312"/>
          <w:sz w:val="32"/>
          <w:szCs w:val="32"/>
          <w:highlight w:val="none"/>
        </w:rPr>
        <w:t>拆改原建筑物结构及各种设备管线。 　　</w:t>
      </w:r>
    </w:p>
    <w:p>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5、项目竣工未移交甲方之前，负责对现场的一切设施和项目成品进行保护。 　</w:t>
      </w:r>
    </w:p>
    <w:p>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第六条、质量保证：</w:t>
      </w:r>
    </w:p>
    <w:p>
      <w:pPr>
        <w:spacing w:line="560" w:lineRule="exact"/>
        <w:ind w:firstLine="640" w:firstLineChars="200"/>
        <w:rPr>
          <w:rFonts w:hint="eastAsia" w:ascii="方正仿宋_GB2312" w:hAnsi="方正仿宋_GB2312" w:eastAsia="方正仿宋_GB2312" w:cs="方正仿宋_GB2312"/>
          <w:color w:val="0D0D0D"/>
          <w:spacing w:val="5"/>
          <w:kern w:val="0"/>
          <w:sz w:val="32"/>
          <w:szCs w:val="32"/>
        </w:rPr>
      </w:pPr>
      <w:r>
        <w:rPr>
          <w:rFonts w:hint="eastAsia" w:ascii="方正仿宋_GB2312" w:hAnsi="方正仿宋_GB2312" w:eastAsia="方正仿宋_GB2312" w:cs="方正仿宋_GB2312"/>
          <w:sz w:val="32"/>
          <w:szCs w:val="32"/>
        </w:rPr>
        <w:t>乙方必须确保施工质量达到国家标准，以相关国家标准为验收标准</w:t>
      </w: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color w:val="0D0D0D"/>
          <w:spacing w:val="5"/>
          <w:kern w:val="0"/>
          <w:sz w:val="32"/>
          <w:szCs w:val="32"/>
          <w:highlight w:val="none"/>
        </w:rPr>
        <w:t>项目</w:t>
      </w:r>
      <w:r>
        <w:rPr>
          <w:rFonts w:hint="eastAsia" w:ascii="方正仿宋_GB2312" w:hAnsi="方正仿宋_GB2312" w:eastAsia="方正仿宋_GB2312" w:cs="方正仿宋_GB2312"/>
          <w:color w:val="0D0D0D"/>
          <w:spacing w:val="5"/>
          <w:kern w:val="0"/>
          <w:sz w:val="32"/>
          <w:szCs w:val="32"/>
          <w:highlight w:val="none"/>
          <w:u w:val="single"/>
        </w:rPr>
        <w:t>质保</w:t>
      </w:r>
      <w:r>
        <w:rPr>
          <w:rFonts w:hint="eastAsia" w:ascii="方正仿宋_GB2312" w:hAnsi="方正仿宋_GB2312" w:eastAsia="方正仿宋_GB2312" w:cs="方正仿宋_GB2312"/>
          <w:color w:val="0D0D0D"/>
          <w:spacing w:val="5"/>
          <w:kern w:val="0"/>
          <w:sz w:val="32"/>
          <w:szCs w:val="32"/>
          <w:highlight w:val="none"/>
          <w:u w:val="single"/>
          <w:lang w:val="en-US" w:eastAsia="zh-CN"/>
        </w:rPr>
        <w:t>XX</w:t>
      </w:r>
      <w:r>
        <w:rPr>
          <w:rFonts w:hint="eastAsia" w:ascii="方正仿宋_GB2312" w:hAnsi="方正仿宋_GB2312" w:eastAsia="方正仿宋_GB2312" w:cs="方正仿宋_GB2312"/>
          <w:color w:val="0D0D0D"/>
          <w:spacing w:val="5"/>
          <w:kern w:val="0"/>
          <w:sz w:val="32"/>
          <w:szCs w:val="32"/>
          <w:highlight w:val="none"/>
          <w:u w:val="single"/>
        </w:rPr>
        <w:t>年</w:t>
      </w:r>
      <w:r>
        <w:rPr>
          <w:rFonts w:hint="eastAsia" w:ascii="方正仿宋_GB2312" w:hAnsi="方正仿宋_GB2312" w:eastAsia="方正仿宋_GB2312" w:cs="方正仿宋_GB2312"/>
          <w:color w:val="0D0D0D"/>
          <w:spacing w:val="5"/>
          <w:kern w:val="0"/>
          <w:sz w:val="32"/>
          <w:szCs w:val="32"/>
          <w:highlight w:val="none"/>
        </w:rPr>
        <w:t>，</w:t>
      </w:r>
      <w:r>
        <w:rPr>
          <w:rFonts w:hint="eastAsia" w:ascii="方正仿宋_GB2312" w:hAnsi="方正仿宋_GB2312" w:eastAsia="方正仿宋_GB2312" w:cs="方正仿宋_GB2312"/>
          <w:color w:val="0D0D0D"/>
          <w:sz w:val="32"/>
          <w:szCs w:val="32"/>
        </w:rPr>
        <w:t>在质保期内有任何质量问题，乙方负责返工，由此导致的费用由乙方</w:t>
      </w:r>
      <w:bookmarkStart w:id="1" w:name="_GoBack"/>
      <w:bookmarkEnd w:id="1"/>
      <w:r>
        <w:rPr>
          <w:rFonts w:hint="eastAsia" w:ascii="方正仿宋_GB2312" w:hAnsi="方正仿宋_GB2312" w:eastAsia="方正仿宋_GB2312" w:cs="方正仿宋_GB2312"/>
          <w:color w:val="0D0D0D"/>
          <w:sz w:val="32"/>
          <w:szCs w:val="32"/>
        </w:rPr>
        <w:t>承担。人为损坏及不可抗力（如：台风、水灾、火灾、地震等）自然灾害损坏除外</w:t>
      </w:r>
      <w:bookmarkStart w:id="0" w:name="OLE_LINK6"/>
      <w:r>
        <w:rPr>
          <w:rFonts w:hint="eastAsia" w:ascii="方正仿宋_GB2312" w:hAnsi="方正仿宋_GB2312" w:eastAsia="方正仿宋_GB2312" w:cs="方正仿宋_GB2312"/>
          <w:color w:val="0D0D0D"/>
          <w:sz w:val="32"/>
          <w:szCs w:val="32"/>
        </w:rPr>
        <w:t>。</w:t>
      </w:r>
    </w:p>
    <w:bookmarkEnd w:id="0"/>
    <w:p>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第七条、安全生产和防火：</w:t>
      </w:r>
    </w:p>
    <w:p>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1．乙方严格按照安全防护和文明施工的规定组织施工，采取必要的安全防护措施，消除事故隐患，自觉接受和配合依法实施的监督检查；</w:t>
      </w:r>
    </w:p>
    <w:p>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2．乙方按照国家劳动部和建设部门有关规定，安全施工采取严格的安全措施；</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3．施工中发生的一切安全责任由乙方负全责。</w:t>
      </w:r>
    </w:p>
    <w:p>
      <w:pPr>
        <w:spacing w:line="360" w:lineRule="auto"/>
        <w:rPr>
          <w:rFonts w:hint="default" w:ascii="方正仿宋_GB2312" w:hAnsi="方正仿宋_GB2312" w:eastAsia="方正仿宋_GB2312" w:cs="方正仿宋_GB2312"/>
          <w:b/>
          <w:sz w:val="32"/>
          <w:szCs w:val="32"/>
          <w:highlight w:val="none"/>
          <w:lang w:val="en-US" w:eastAsia="zh-CN"/>
        </w:rPr>
      </w:pPr>
      <w:r>
        <w:rPr>
          <w:rFonts w:hint="eastAsia" w:ascii="方正仿宋_GB2312" w:hAnsi="方正仿宋_GB2312" w:eastAsia="方正仿宋_GB2312" w:cs="方正仿宋_GB2312"/>
          <w:b/>
          <w:sz w:val="32"/>
          <w:szCs w:val="32"/>
          <w:highlight w:val="none"/>
        </w:rPr>
        <w:t>第八条、合同款项支付：</w:t>
      </w:r>
      <w:r>
        <w:rPr>
          <w:rFonts w:hint="eastAsia" w:ascii="方正仿宋_GB2312" w:hAnsi="方正仿宋_GB2312" w:eastAsia="方正仿宋_GB2312" w:cs="方正仿宋_GB2312"/>
          <w:b/>
          <w:sz w:val="32"/>
          <w:szCs w:val="32"/>
          <w:highlight w:val="none"/>
          <w:u w:val="single"/>
          <w:lang w:eastAsia="zh-CN"/>
        </w:rPr>
        <w:t>（与招标文件中的付款方式保持一致）</w:t>
      </w:r>
    </w:p>
    <w:p>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付款方式：银行转账</w:t>
      </w:r>
    </w:p>
    <w:p>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不可抗力：</w:t>
      </w:r>
    </w:p>
    <w:p>
      <w:pPr>
        <w:spacing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甲乙双方的任何一方因不可抗力不能履行合同的，应当在事件发生之日起7日内书面通知对方，并在事件消失后15日内提交有关部门的书面证明，根据不可抗力的影响，部分或者全部免除责任。迟延履行后发生不可抗力的，不能免除责任。</w:t>
      </w:r>
    </w:p>
    <w:p>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第十一条、违约责任：</w:t>
      </w:r>
    </w:p>
    <w:p>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确认方不对任何一方的违约行为承担任何责任。</w:t>
      </w:r>
    </w:p>
    <w:p>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第十二条、解决合同纠纷的方式：</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合同执行中发生争议的，当事人双方应友好协商解决，协商不成，可向当地行政仲裁机关申请仲裁或者向合同签订地人民法院提请诉讼。</w:t>
      </w:r>
    </w:p>
    <w:p>
      <w:pPr>
        <w:numPr>
          <w:ilvl w:val="0"/>
          <w:numId w:val="4"/>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其他事宜：</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1、本合同经甲乙双方签字盖章，确认方确认后生效。</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highlight w:val="none"/>
        </w:rPr>
        <w:t>本合同一式陆份，甲乙双方各执贰份，确认方贰份。</w:t>
      </w:r>
    </w:p>
    <w:p>
      <w:pPr>
        <w:adjustRightInd w:val="0"/>
        <w:snapToGrid w:val="0"/>
        <w:spacing w:line="560" w:lineRule="exact"/>
        <w:ind w:firstLine="627" w:firstLineChars="196"/>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3、本合同修改、变更部分应视为本合同不可分割的组成部分，将作为本合同的组成部分。</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4、合同所附均为本合同组成部分，与本合同具有同等法律效力。</w:t>
      </w:r>
    </w:p>
    <w:p>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5、由甲方组织验收并严把数量技术质量关。</w:t>
      </w:r>
    </w:p>
    <w:tbl>
      <w:tblPr>
        <w:tblStyle w:val="18"/>
        <w:tblpPr w:leftFromText="180" w:rightFromText="180" w:vertAnchor="text" w:horzAnchor="page" w:tblpX="1130" w:tblpY="25"/>
        <w:tblOverlap w:val="never"/>
        <w:tblW w:w="10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8"/>
        <w:gridCol w:w="3936"/>
        <w:gridCol w:w="3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  方</w:t>
            </w:r>
          </w:p>
        </w:tc>
        <w:tc>
          <w:tcPr>
            <w:tcW w:w="3936" w:type="dxa"/>
          </w:tcPr>
          <w:p>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乙  方</w:t>
            </w:r>
          </w:p>
        </w:tc>
        <w:tc>
          <w:tcPr>
            <w:tcW w:w="3145" w:type="dxa"/>
          </w:tcPr>
          <w:p>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确 认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3258" w:type="dxa"/>
            <w:vAlign w:val="center"/>
          </w:tcPr>
          <w:p>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32"/>
                <w:szCs w:val="32"/>
                <w:lang w:val="en-US" w:eastAsia="zh-CN"/>
              </w:rPr>
              <w:t>XXX</w:t>
            </w:r>
            <w:r>
              <w:rPr>
                <w:rFonts w:hint="eastAsia" w:ascii="方正仿宋_GB2312" w:hAnsi="方正仿宋_GB2312" w:eastAsia="方正仿宋_GB2312" w:cs="方正仿宋_GB2312"/>
                <w:sz w:val="28"/>
                <w:szCs w:val="28"/>
              </w:rPr>
              <w:t>（盖章）</w:t>
            </w:r>
          </w:p>
        </w:tc>
        <w:tc>
          <w:tcPr>
            <w:tcW w:w="3936" w:type="dxa"/>
            <w:vAlign w:val="center"/>
          </w:tcPr>
          <w:p>
            <w:pPr>
              <w:spacing w:line="500" w:lineRule="exact"/>
              <w:jc w:val="center"/>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lang w:val="en-US" w:eastAsia="zh-CN"/>
              </w:rPr>
              <w:t>XXX</w:t>
            </w:r>
            <w:r>
              <w:rPr>
                <w:rFonts w:hint="eastAsia" w:ascii="方正仿宋_GB2312" w:hAnsi="方正仿宋_GB2312" w:eastAsia="方正仿宋_GB2312" w:cs="方正仿宋_GB2312"/>
                <w:sz w:val="28"/>
                <w:szCs w:val="28"/>
              </w:rPr>
              <w:t>（盖章）</w:t>
            </w:r>
          </w:p>
        </w:tc>
        <w:tc>
          <w:tcPr>
            <w:tcW w:w="3145" w:type="dxa"/>
            <w:vAlign w:val="center"/>
          </w:tcPr>
          <w:p>
            <w:pPr>
              <w:spacing w:line="50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澄城县政府采购中心</w:t>
            </w:r>
          </w:p>
          <w:p>
            <w:pPr>
              <w:spacing w:line="500" w:lineRule="exact"/>
              <w:jc w:val="center"/>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pPr>
              <w:spacing w:line="500" w:lineRule="exact"/>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地址：</w:t>
            </w:r>
          </w:p>
        </w:tc>
        <w:tc>
          <w:tcPr>
            <w:tcW w:w="3936" w:type="dxa"/>
          </w:tcPr>
          <w:p>
            <w:pPr>
              <w:spacing w:line="500" w:lineRule="exact"/>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地址：</w:t>
            </w:r>
          </w:p>
        </w:tc>
        <w:tc>
          <w:tcPr>
            <w:tcW w:w="3145" w:type="dxa"/>
          </w:tcPr>
          <w:p>
            <w:pPr>
              <w:spacing w:line="500" w:lineRule="exact"/>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地址：澄城县财政局四楼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3258" w:type="dxa"/>
            <w:vAlign w:val="center"/>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法定代表人： </w:t>
            </w:r>
          </w:p>
        </w:tc>
        <w:tc>
          <w:tcPr>
            <w:tcW w:w="3936" w:type="dxa"/>
            <w:vAlign w:val="center"/>
          </w:tcPr>
          <w:p>
            <w:pPr>
              <w:spacing w:line="500" w:lineRule="exac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法定代表人：</w:t>
            </w:r>
          </w:p>
        </w:tc>
        <w:tc>
          <w:tcPr>
            <w:tcW w:w="3145" w:type="dxa"/>
            <w:vAlign w:val="center"/>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3258" w:type="dxa"/>
            <w:vAlign w:val="center"/>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936" w:type="dxa"/>
            <w:vAlign w:val="center"/>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145" w:type="dxa"/>
            <w:vAlign w:val="center"/>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承办人：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3258" w:type="dxa"/>
            <w:vAlign w:val="center"/>
          </w:tcPr>
          <w:p>
            <w:pPr>
              <w:spacing w:line="500" w:lineRule="exact"/>
              <w:rPr>
                <w:rFonts w:hint="eastAsia" w:ascii="方正仿宋_GB2312" w:hAnsi="方正仿宋_GB2312" w:eastAsia="方正仿宋_GB2312" w:cs="方正仿宋_GB2312"/>
                <w:sz w:val="28"/>
                <w:szCs w:val="28"/>
              </w:rPr>
            </w:pPr>
          </w:p>
        </w:tc>
        <w:tc>
          <w:tcPr>
            <w:tcW w:w="3936" w:type="dxa"/>
            <w:vAlign w:val="center"/>
          </w:tcPr>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tc>
        <w:tc>
          <w:tcPr>
            <w:tcW w:w="3145" w:type="dxa"/>
            <w:vAlign w:val="center"/>
          </w:tcPr>
          <w:p>
            <w:pPr>
              <w:spacing w:line="500" w:lineRule="exact"/>
              <w:rPr>
                <w:rFonts w:hint="eastAsia" w:ascii="方正仿宋_GB2312" w:hAnsi="方正仿宋_GB2312" w:eastAsia="方正仿宋_GB2312" w:cs="方正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258" w:type="dxa"/>
            <w:vAlign w:val="center"/>
          </w:tcPr>
          <w:p>
            <w:pPr>
              <w:spacing w:line="500" w:lineRule="exact"/>
              <w:rPr>
                <w:rFonts w:hint="eastAsia" w:ascii="方正仿宋_GB2312" w:hAnsi="方正仿宋_GB2312" w:eastAsia="方正仿宋_GB2312" w:cs="方正仿宋_GB2312"/>
                <w:sz w:val="28"/>
                <w:szCs w:val="28"/>
              </w:rPr>
            </w:pPr>
          </w:p>
        </w:tc>
        <w:tc>
          <w:tcPr>
            <w:tcW w:w="3936" w:type="dxa"/>
            <w:vAlign w:val="center"/>
          </w:tcPr>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户名:</w:t>
            </w:r>
          </w:p>
        </w:tc>
        <w:tc>
          <w:tcPr>
            <w:tcW w:w="3145" w:type="dxa"/>
            <w:vAlign w:val="center"/>
          </w:tcPr>
          <w:p>
            <w:pPr>
              <w:spacing w:line="500" w:lineRule="exact"/>
              <w:rPr>
                <w:rFonts w:hint="eastAsia" w:ascii="方正仿宋_GB2312" w:hAnsi="方正仿宋_GB2312" w:eastAsia="方正仿宋_GB2312" w:cs="方正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3258" w:type="dxa"/>
          </w:tcPr>
          <w:p>
            <w:pPr>
              <w:spacing w:line="500" w:lineRule="exact"/>
              <w:rPr>
                <w:rFonts w:hint="eastAsia" w:ascii="方正仿宋_GB2312" w:hAnsi="方正仿宋_GB2312" w:eastAsia="方正仿宋_GB2312" w:cs="方正仿宋_GB2312"/>
                <w:sz w:val="28"/>
                <w:szCs w:val="28"/>
              </w:rPr>
            </w:pPr>
          </w:p>
        </w:tc>
        <w:tc>
          <w:tcPr>
            <w:tcW w:w="3936" w:type="dxa"/>
            <w:vAlign w:val="center"/>
          </w:tcPr>
          <w:p>
            <w:pPr>
              <w:spacing w:line="500" w:lineRule="exact"/>
              <w:jc w:val="lef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账号：</w:t>
            </w:r>
          </w:p>
        </w:tc>
        <w:tc>
          <w:tcPr>
            <w:tcW w:w="3145" w:type="dxa"/>
          </w:tcPr>
          <w:p>
            <w:pPr>
              <w:spacing w:line="500" w:lineRule="exact"/>
              <w:rPr>
                <w:rFonts w:hint="eastAsia" w:ascii="方正仿宋_GB2312" w:hAnsi="方正仿宋_GB2312" w:eastAsia="方正仿宋_GB2312" w:cs="方正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58" w:type="dxa"/>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936" w:type="dxa"/>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145" w:type="dxa"/>
          </w:tcPr>
          <w:p>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r>
    </w:tbl>
    <w:p>
      <w:pPr>
        <w:widowControl/>
        <w:jc w:val="both"/>
        <w:rPr>
          <w:rFonts w:hint="eastAsia" w:ascii="方正仿宋_GB2312" w:hAnsi="方正仿宋_GB2312" w:eastAsia="方正仿宋_GB2312" w:cs="方正仿宋_GB2312"/>
          <w:bCs/>
          <w:sz w:val="16"/>
          <w:szCs w:val="28"/>
          <w:lang w:eastAsia="zh-CN"/>
        </w:rPr>
      </w:pPr>
    </w:p>
    <w:sectPr>
      <w:headerReference r:id="rId3" w:type="default"/>
      <w:footerReference r:id="rId4" w:type="default"/>
      <w:footerReference r:id="rId5" w:type="even"/>
      <w:pgSz w:w="11906" w:h="16838"/>
      <w:pgMar w:top="1191" w:right="1077" w:bottom="1077" w:left="1247" w:header="119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836BD3D5-21A1-4F6C-B0BB-3A04BE01DF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fldChar w:fldCharType="begin"/>
    </w:r>
    <w:r>
      <w:rPr>
        <w:rStyle w:val="21"/>
      </w:rPr>
      <w:instrText xml:space="preserve">PAGE  </w:instrText>
    </w:r>
    <w:r>
      <w:fldChar w:fldCharType="separate"/>
    </w:r>
    <w:r>
      <w:rPr>
        <w:rStyle w:val="21"/>
      </w:rPr>
      <w:t>4</w:t>
    </w:r>
    <w:r>
      <w:fldChar w:fldCharType="end"/>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fldChar w:fldCharType="begin"/>
    </w:r>
    <w:r>
      <w:rPr>
        <w:rStyle w:val="21"/>
      </w:rPr>
      <w:instrText xml:space="preserve">PAGE  </w:instrText>
    </w:r>
    <w:r>
      <w:fldChar w:fldCharType="end"/>
    </w:r>
  </w:p>
  <w:p>
    <w:pPr>
      <w:pStyle w:val="12"/>
      <w:ind w:right="360"/>
    </w:pPr>
  </w:p>
  <w:p/>
  <w:p/>
  <w:p/>
  <w:p/>
  <w:p/>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pStyle w:val="2"/>
      <w:suff w:val="space"/>
      <w:lvlText w:val="第%1部分"/>
      <w:lvlJc w:val="left"/>
      <w:pPr>
        <w:tabs>
          <w:tab w:val="left" w:pos="420"/>
        </w:tabs>
        <w:ind w:left="432" w:hanging="432"/>
      </w:pPr>
      <w:rPr>
        <w:rFonts w:hint="eastAsia"/>
        <w:sz w:val="28"/>
      </w:rPr>
    </w:lvl>
    <w:lvl w:ilvl="1" w:tentative="0">
      <w:start w:val="1"/>
      <w:numFmt w:val="decimal"/>
      <w:pStyle w:val="3"/>
      <w:isLgl/>
      <w:suff w:val="space"/>
      <w:lvlText w:val="%1.%2."/>
      <w:lvlJc w:val="left"/>
      <w:pPr>
        <w:tabs>
          <w:tab w:val="left" w:pos="0"/>
        </w:tabs>
        <w:ind w:left="575" w:hanging="575"/>
      </w:pPr>
      <w:rPr>
        <w:rFonts w:hint="eastAsia" w:ascii="仿宋" w:hAnsi="仿宋"/>
        <w:b/>
        <w:sz w:val="28"/>
      </w:rPr>
    </w:lvl>
    <w:lvl w:ilvl="2" w:tentative="0">
      <w:start w:val="1"/>
      <w:numFmt w:val="decimal"/>
      <w:isLgl/>
      <w:lvlText w:val="%1.%2.%3."/>
      <w:lvlJc w:val="left"/>
      <w:pPr>
        <w:ind w:left="720" w:hanging="720"/>
      </w:pPr>
      <w:rPr>
        <w:rFonts w:hint="default" w:ascii="仿宋" w:hAnsi="仿宋" w:eastAsia="仿宋" w:cs="仿宋"/>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00000001"/>
    <w:multiLevelType w:val="singleLevel"/>
    <w:tmpl w:val="00000001"/>
    <w:lvl w:ilvl="0" w:tentative="0">
      <w:start w:val="9"/>
      <w:numFmt w:val="chineseCounting"/>
      <w:suff w:val="nothing"/>
      <w:lvlText w:val="第%1条、"/>
      <w:lvlJc w:val="left"/>
      <w:rPr>
        <w:rFonts w:hint="eastAsia"/>
      </w:rPr>
    </w:lvl>
  </w:abstractNum>
  <w:abstractNum w:abstractNumId="2">
    <w:nsid w:val="00000002"/>
    <w:multiLevelType w:val="singleLevel"/>
    <w:tmpl w:val="00000002"/>
    <w:lvl w:ilvl="0" w:tentative="0">
      <w:start w:val="1"/>
      <w:numFmt w:val="chineseCounting"/>
      <w:suff w:val="nothing"/>
      <w:lvlText w:val="第%1条、"/>
      <w:lvlJc w:val="left"/>
      <w:rPr>
        <w:rFonts w:hint="eastAsia"/>
      </w:rPr>
    </w:lvl>
  </w:abstractNum>
  <w:abstractNum w:abstractNumId="3">
    <w:nsid w:val="00000003"/>
    <w:multiLevelType w:val="singleLevel"/>
    <w:tmpl w:val="00000003"/>
    <w:lvl w:ilvl="0" w:tentative="0">
      <w:start w:val="13"/>
      <w:numFmt w:val="chineseCounting"/>
      <w:suff w:val="nothing"/>
      <w:lvlText w:val="第%1条、"/>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YjUwMmU3ZDJkMjI1ZDFkMDg0OGQ2ZTYxMjQyY2MifQ=="/>
    <w:docVar w:name="KSO_WPS_MARK_KEY" w:val="dfe3860a-6bd3-4a56-aef3-b484bab02021"/>
  </w:docVars>
  <w:rsids>
    <w:rsidRoot w:val="00000000"/>
    <w:rsid w:val="00A34D8D"/>
    <w:rsid w:val="011A2828"/>
    <w:rsid w:val="033B5B5E"/>
    <w:rsid w:val="03AE01D7"/>
    <w:rsid w:val="05B17B43"/>
    <w:rsid w:val="06901B65"/>
    <w:rsid w:val="06A1485B"/>
    <w:rsid w:val="08B17BE1"/>
    <w:rsid w:val="0A47493F"/>
    <w:rsid w:val="0B132DA2"/>
    <w:rsid w:val="0B313A17"/>
    <w:rsid w:val="0DE85718"/>
    <w:rsid w:val="0F621910"/>
    <w:rsid w:val="0F726738"/>
    <w:rsid w:val="0FDF5946"/>
    <w:rsid w:val="130C6140"/>
    <w:rsid w:val="14200F92"/>
    <w:rsid w:val="14655332"/>
    <w:rsid w:val="18C86456"/>
    <w:rsid w:val="196F23AC"/>
    <w:rsid w:val="2259278F"/>
    <w:rsid w:val="28B12493"/>
    <w:rsid w:val="28CC03F4"/>
    <w:rsid w:val="2BA7632F"/>
    <w:rsid w:val="2C7C7A3B"/>
    <w:rsid w:val="2C87734A"/>
    <w:rsid w:val="33005BAB"/>
    <w:rsid w:val="3463785E"/>
    <w:rsid w:val="35953684"/>
    <w:rsid w:val="382F0353"/>
    <w:rsid w:val="40A7631D"/>
    <w:rsid w:val="418A4550"/>
    <w:rsid w:val="41C2051C"/>
    <w:rsid w:val="41F77BC8"/>
    <w:rsid w:val="42D31245"/>
    <w:rsid w:val="43E75C8A"/>
    <w:rsid w:val="44B14540"/>
    <w:rsid w:val="44BA47B9"/>
    <w:rsid w:val="45CD0EAF"/>
    <w:rsid w:val="46342CDD"/>
    <w:rsid w:val="47143D2B"/>
    <w:rsid w:val="482B4F2D"/>
    <w:rsid w:val="48A821CB"/>
    <w:rsid w:val="4BBF051A"/>
    <w:rsid w:val="4C42439B"/>
    <w:rsid w:val="4CF26D43"/>
    <w:rsid w:val="4DAE3836"/>
    <w:rsid w:val="4E570B14"/>
    <w:rsid w:val="4F447E1C"/>
    <w:rsid w:val="52687CEA"/>
    <w:rsid w:val="527903F5"/>
    <w:rsid w:val="52903990"/>
    <w:rsid w:val="53EF683D"/>
    <w:rsid w:val="5419780A"/>
    <w:rsid w:val="59254DB9"/>
    <w:rsid w:val="5A587838"/>
    <w:rsid w:val="5C0A6562"/>
    <w:rsid w:val="5D7956AC"/>
    <w:rsid w:val="5E4A533B"/>
    <w:rsid w:val="5E994CCE"/>
    <w:rsid w:val="5F591D9E"/>
    <w:rsid w:val="614A3990"/>
    <w:rsid w:val="62AE2E73"/>
    <w:rsid w:val="668854EA"/>
    <w:rsid w:val="66CE0FDE"/>
    <w:rsid w:val="6ABF5A22"/>
    <w:rsid w:val="6AC6752B"/>
    <w:rsid w:val="6BF52807"/>
    <w:rsid w:val="6D33451B"/>
    <w:rsid w:val="70207CAA"/>
    <w:rsid w:val="70C44AD9"/>
    <w:rsid w:val="70FE6485"/>
    <w:rsid w:val="73226B09"/>
    <w:rsid w:val="75D73559"/>
    <w:rsid w:val="77257618"/>
    <w:rsid w:val="774D1C70"/>
    <w:rsid w:val="786F738F"/>
    <w:rsid w:val="788778CC"/>
    <w:rsid w:val="7A0676B9"/>
    <w:rsid w:val="7B0D52CF"/>
    <w:rsid w:val="7CE945FD"/>
    <w:rsid w:val="7CEF7382"/>
    <w:rsid w:val="7DAA7D75"/>
    <w:rsid w:val="7E0C08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qFormat/>
    <w:uiPriority w:val="0"/>
    <w:pPr>
      <w:keepNext/>
      <w:keepLines/>
      <w:numPr>
        <w:ilvl w:val="0"/>
        <w:numId w:val="1"/>
      </w:numPr>
      <w:tabs>
        <w:tab w:val="clear" w:pos="420"/>
      </w:tabs>
      <w:spacing w:before="340" w:after="330" w:line="576" w:lineRule="auto"/>
      <w:jc w:val="center"/>
      <w:outlineLvl w:val="0"/>
    </w:pPr>
    <w:rPr>
      <w:rFonts w:eastAsia="仿宋"/>
      <w:b/>
      <w:kern w:val="44"/>
      <w:sz w:val="28"/>
      <w:szCs w:val="24"/>
    </w:rPr>
  </w:style>
  <w:style w:type="paragraph" w:styleId="3">
    <w:name w:val="heading 2"/>
    <w:basedOn w:val="1"/>
    <w:next w:val="1"/>
    <w:qFormat/>
    <w:uiPriority w:val="0"/>
    <w:pPr>
      <w:keepNext/>
      <w:keepLines/>
      <w:numPr>
        <w:ilvl w:val="1"/>
        <w:numId w:val="1"/>
      </w:numPr>
      <w:spacing w:before="260" w:after="260" w:line="413" w:lineRule="auto"/>
      <w:jc w:val="left"/>
      <w:outlineLvl w:val="1"/>
    </w:pPr>
    <w:rPr>
      <w:rFonts w:ascii="Arial" w:hAnsi="Arial" w:eastAsia="仿宋"/>
      <w:b/>
      <w:sz w:val="28"/>
      <w:szCs w:val="24"/>
    </w:rPr>
  </w:style>
  <w:style w:type="paragraph" w:styleId="4">
    <w:name w:val="heading 3"/>
    <w:basedOn w:val="1"/>
    <w:next w:val="1"/>
    <w:qFormat/>
    <w:uiPriority w:val="0"/>
    <w:pPr>
      <w:keepNext/>
      <w:keepLines/>
      <w:spacing w:line="413" w:lineRule="auto"/>
      <w:outlineLvl w:val="2"/>
    </w:pPr>
    <w:rPr>
      <w:b/>
      <w:sz w:val="32"/>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style>
  <w:style w:type="paragraph" w:styleId="6">
    <w:name w:val="Document Map"/>
    <w:basedOn w:val="1"/>
    <w:link w:val="33"/>
    <w:qFormat/>
    <w:uiPriority w:val="0"/>
    <w:rPr>
      <w:rFonts w:ascii="宋体"/>
      <w:sz w:val="18"/>
      <w:szCs w:val="18"/>
    </w:rPr>
  </w:style>
  <w:style w:type="paragraph" w:styleId="7">
    <w:name w:val="Body Text"/>
    <w:basedOn w:val="1"/>
    <w:next w:val="1"/>
    <w:qFormat/>
    <w:uiPriority w:val="0"/>
    <w:pPr>
      <w:snapToGrid w:val="0"/>
      <w:spacing w:after="120"/>
      <w:jc w:val="center"/>
    </w:pPr>
    <w:rPr>
      <w:rFonts w:ascii="仿宋_GB2312" w:hAnsi="微软雅黑" w:eastAsia="仿宋_GB2312" w:cs="微软雅黑"/>
      <w:color w:val="333333"/>
      <w:kern w:val="0"/>
      <w:sz w:val="32"/>
      <w:szCs w:val="32"/>
      <w:shd w:val="clear" w:color="auto" w:fill="FFFFFF"/>
    </w:rPr>
  </w:style>
  <w:style w:type="paragraph" w:styleId="8">
    <w:name w:val="Body Text Indent"/>
    <w:basedOn w:val="1"/>
    <w:qFormat/>
    <w:uiPriority w:val="0"/>
    <w:pPr>
      <w:spacing w:line="360" w:lineRule="auto"/>
      <w:ind w:firstLine="420"/>
    </w:pPr>
    <w:rPr>
      <w:rFonts w:ascii="宋体"/>
      <w:sz w:val="24"/>
    </w:rPr>
  </w:style>
  <w:style w:type="paragraph" w:styleId="9">
    <w:name w:val="Date"/>
    <w:basedOn w:val="1"/>
    <w:next w:val="1"/>
    <w:qFormat/>
    <w:uiPriority w:val="0"/>
    <w:pPr>
      <w:adjustRightInd w:val="0"/>
      <w:spacing w:line="312" w:lineRule="atLeast"/>
      <w:textAlignment w:val="baseline"/>
    </w:pPr>
    <w:rPr>
      <w:rFonts w:eastAsia="楷体_GB2312"/>
      <w:b/>
      <w:kern w:val="0"/>
    </w:rPr>
  </w:style>
  <w:style w:type="paragraph" w:styleId="10">
    <w:name w:val="Body Text Indent 2"/>
    <w:basedOn w:val="1"/>
    <w:qFormat/>
    <w:uiPriority w:val="0"/>
    <w:pPr>
      <w:snapToGrid w:val="0"/>
      <w:spacing w:line="360" w:lineRule="auto"/>
      <w:ind w:firstLine="523" w:firstLineChars="217"/>
    </w:pPr>
    <w:rPr>
      <w:rFonts w:ascii="黑体" w:eastAsia="黑体"/>
      <w:b/>
      <w:bCs/>
      <w:sz w:val="24"/>
      <w:szCs w:val="24"/>
    </w:rPr>
  </w:style>
  <w:style w:type="paragraph" w:styleId="11">
    <w:name w:val="Balloon Text"/>
    <w:basedOn w:val="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link w:val="31"/>
    <w:qFormat/>
    <w:uiPriority w:val="99"/>
    <w:pPr>
      <w:pBdr>
        <w:bottom w:val="single" w:color="auto" w:sz="6" w:space="0"/>
      </w:pBdr>
      <w:tabs>
        <w:tab w:val="center" w:pos="4153"/>
        <w:tab w:val="right" w:pos="8306"/>
      </w:tabs>
      <w:snapToGrid w:val="0"/>
      <w:jc w:val="center"/>
    </w:pPr>
    <w:rPr>
      <w:sz w:val="18"/>
      <w:szCs w:val="18"/>
    </w:rPr>
  </w:style>
  <w:style w:type="paragraph" w:styleId="14">
    <w:name w:val="toc 1"/>
    <w:basedOn w:val="1"/>
    <w:next w:val="1"/>
    <w:qFormat/>
    <w:uiPriority w:val="0"/>
    <w:pPr>
      <w:snapToGrid w:val="0"/>
      <w:spacing w:after="60" w:line="360" w:lineRule="atLeast"/>
    </w:pPr>
    <w:rPr>
      <w:sz w:val="24"/>
    </w:rPr>
  </w:style>
  <w:style w:type="paragraph" w:styleId="15">
    <w:name w:val="Body Text Indent 3"/>
    <w:basedOn w:val="1"/>
    <w:qFormat/>
    <w:uiPriority w:val="0"/>
    <w:pPr>
      <w:snapToGrid w:val="0"/>
      <w:spacing w:line="360" w:lineRule="auto"/>
      <w:ind w:left="1154" w:hanging="1154" w:hangingChars="479"/>
    </w:pPr>
    <w:rPr>
      <w:rFonts w:ascii="黑体" w:eastAsia="黑体"/>
      <w:b/>
      <w:bCs/>
      <w:sz w:val="24"/>
      <w:szCs w:val="24"/>
    </w:rPr>
  </w:style>
  <w:style w:type="paragraph" w:styleId="16">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qFormat/>
    <w:uiPriority w:val="0"/>
  </w:style>
  <w:style w:type="character" w:styleId="22">
    <w:name w:val="Hyperlink"/>
    <w:qFormat/>
    <w:uiPriority w:val="0"/>
    <w:rPr>
      <w:color w:val="0000FF"/>
      <w:u w:val="single"/>
    </w:rPr>
  </w:style>
  <w:style w:type="character" w:customStyle="1" w:styleId="23">
    <w:name w:val="标题 1 Char"/>
    <w:link w:val="2"/>
    <w:qFormat/>
    <w:uiPriority w:val="0"/>
    <w:rPr>
      <w:rFonts w:ascii="Times New Roman" w:hAnsi="Times New Roman" w:eastAsia="仿宋" w:cs="Times New Roman"/>
      <w:b/>
      <w:kern w:val="44"/>
      <w:sz w:val="28"/>
    </w:rPr>
  </w:style>
  <w:style w:type="character" w:customStyle="1" w:styleId="24">
    <w:name w:val="页码1"/>
    <w:qFormat/>
    <w:uiPriority w:val="0"/>
  </w:style>
  <w:style w:type="character" w:customStyle="1" w:styleId="25">
    <w:name w:val="font41"/>
    <w:qFormat/>
    <w:uiPriority w:val="0"/>
    <w:rPr>
      <w:rFonts w:hint="default" w:ascii="Tahoma" w:hAnsi="Tahoma" w:eastAsia="Tahoma" w:cs="Tahoma"/>
      <w:color w:val="000000"/>
      <w:sz w:val="22"/>
      <w:szCs w:val="22"/>
      <w:u w:val="none"/>
    </w:rPr>
  </w:style>
  <w:style w:type="character" w:customStyle="1" w:styleId="26">
    <w:name w:val="font21"/>
    <w:qFormat/>
    <w:uiPriority w:val="0"/>
    <w:rPr>
      <w:rFonts w:ascii="楷体_GB2312" w:eastAsia="楷体_GB2312" w:cs="楷体_GB2312"/>
      <w:color w:val="000000"/>
      <w:sz w:val="22"/>
      <w:szCs w:val="22"/>
      <w:u w:val="none"/>
    </w:rPr>
  </w:style>
  <w:style w:type="paragraph" w:customStyle="1" w:styleId="27">
    <w:name w:val="Char Char Char"/>
    <w:basedOn w:val="1"/>
    <w:qFormat/>
    <w:uiPriority w:val="0"/>
    <w:rPr>
      <w:rFonts w:ascii="Tahoma" w:hAnsi="Tahoma"/>
      <w:sz w:val="24"/>
    </w:rPr>
  </w:style>
  <w:style w:type="paragraph" w:customStyle="1" w:styleId="28">
    <w:name w:val="Char"/>
    <w:basedOn w:val="1"/>
    <w:qFormat/>
    <w:uiPriority w:val="0"/>
    <w:pPr>
      <w:spacing w:line="360" w:lineRule="auto"/>
    </w:pPr>
    <w:rPr>
      <w:rFonts w:ascii="仿宋_GB2312" w:eastAsia="仿宋_GB2312"/>
      <w:b/>
      <w:sz w:val="32"/>
      <w:szCs w:val="32"/>
    </w:rPr>
  </w:style>
  <w:style w:type="table" w:customStyle="1" w:styleId="29">
    <w:name w:val="Table Normal"/>
    <w:qFormat/>
    <w:uiPriority w:val="0"/>
    <w:tblPr>
      <w:tblCellMar>
        <w:top w:w="0" w:type="dxa"/>
        <w:left w:w="0" w:type="dxa"/>
        <w:bottom w:w="0" w:type="dxa"/>
        <w:right w:w="0" w:type="dxa"/>
      </w:tblCellMar>
    </w:tblPr>
  </w:style>
  <w:style w:type="paragraph" w:customStyle="1" w:styleId="30">
    <w:name w:val="Table Text"/>
    <w:basedOn w:val="1"/>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6"/>
      <w:szCs w:val="16"/>
      <w:lang w:eastAsia="en-US"/>
    </w:rPr>
  </w:style>
  <w:style w:type="character" w:customStyle="1" w:styleId="31">
    <w:name w:val="页眉 Char"/>
    <w:basedOn w:val="20"/>
    <w:link w:val="13"/>
    <w:qFormat/>
    <w:uiPriority w:val="99"/>
    <w:rPr>
      <w:kern w:val="2"/>
      <w:sz w:val="18"/>
      <w:szCs w:val="18"/>
    </w:rPr>
  </w:style>
  <w:style w:type="paragraph" w:customStyle="1" w:styleId="32">
    <w:name w:val="表格文字"/>
    <w:basedOn w:val="1"/>
    <w:next w:val="7"/>
    <w:qFormat/>
    <w:uiPriority w:val="0"/>
    <w:pPr>
      <w:adjustRightInd w:val="0"/>
      <w:spacing w:line="420" w:lineRule="atLeast"/>
      <w:textAlignment w:val="baseline"/>
    </w:pPr>
  </w:style>
  <w:style w:type="character" w:customStyle="1" w:styleId="33">
    <w:name w:val="文档结构图 Char"/>
    <w:basedOn w:val="20"/>
    <w:link w:val="6"/>
    <w:qFormat/>
    <w:uiPriority w:val="0"/>
    <w:rPr>
      <w:rFonts w:ascii="宋体"/>
      <w:kern w:val="2"/>
      <w:sz w:val="18"/>
      <w:szCs w:val="18"/>
    </w:rPr>
  </w:style>
  <w:style w:type="paragraph" w:customStyle="1" w:styleId="34">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1765</Words>
  <Characters>1814</Characters>
  <Paragraphs>110</Paragraphs>
  <TotalTime>5</TotalTime>
  <ScaleCrop>false</ScaleCrop>
  <LinksUpToDate>false</LinksUpToDate>
  <CharactersWithSpaces>1893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2024-01-02T16:34:00Z</dcterms:created>
  <dc:creator>念</dc:creator>
  <cp:lastModifiedBy>Administrator</cp:lastModifiedBy>
  <cp:lastPrinted>2014-08-01T09:28:00Z</cp:lastPrinted>
  <dcterms:modified xsi:type="dcterms:W3CDTF">2025-09-22T09:26:00Z</dcterms:modified>
  <dc:title>设备购销合同书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2D516FC072754406B17EE7340C87B054</vt:lpwstr>
  </property>
  <property fmtid="{D5CDD505-2E9C-101B-9397-08002B2CF9AE}" pid="4" name="CRO">
    <vt:lpwstr>wqlLaW5nc29mdCBQREYgdG8gV1BTIDkw</vt:lpwstr>
  </property>
  <property fmtid="{D5CDD505-2E9C-101B-9397-08002B2CF9AE}" pid="5" name="Created">
    <vt:filetime>2024-01-03T13:13:55Z</vt:filetime>
  </property>
  <property fmtid="{D5CDD505-2E9C-101B-9397-08002B2CF9AE}" pid="6" name="KSOTemplateDocerSaveRecord">
    <vt:lpwstr>eyJoZGlkIjoiMzc4YmM3NDRkNzI4NzczYmJkYTJmN2JmNjM5ODk5ZWEiLCJ1c2VySWQiOiIzMDY4OTAzNTYifQ==</vt:lpwstr>
  </property>
</Properties>
</file>