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版本号：CZCWJ(2025)YYZX-220251110001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养育未来项目养育中心硬装改造(二次)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CZCWJ(2025)YYZX-2</w:t>
      </w:r>
      <w:r>
        <w:br/>
      </w:r>
      <w:r>
        <w:br/>
      </w:r>
      <w:r>
        <w:br/>
      </w:r>
    </w:p>
    <w:p>
      <w:pPr>
        <w:pStyle w:val="null3"/>
        <w:jc w:val="center"/>
        <w:outlineLvl w:val="2"/>
      </w:pPr>
      <w:r>
        <w:rPr>
          <w:rFonts w:ascii="仿宋_GB2312" w:hAnsi="仿宋_GB2312" w:cs="仿宋_GB2312" w:eastAsia="仿宋_GB2312"/>
          <w:sz w:val="28"/>
          <w:b/>
        </w:rPr>
        <w:t>澄城县卫生健康局</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澄城县卫生健康局</w:t>
      </w:r>
      <w:r>
        <w:rPr>
          <w:rFonts w:ascii="仿宋_GB2312" w:hAnsi="仿宋_GB2312" w:cs="仿宋_GB2312" w:eastAsia="仿宋_GB2312"/>
        </w:rPr>
        <w:t>委托，拟对</w:t>
      </w:r>
      <w:r>
        <w:rPr>
          <w:rFonts w:ascii="仿宋_GB2312" w:hAnsi="仿宋_GB2312" w:cs="仿宋_GB2312" w:eastAsia="仿宋_GB2312"/>
        </w:rPr>
        <w:t>养育未来项目养育中心硬装改造(二次)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CZCWJ(2025)YYZX-2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养育未来项目养育中心硬装改造(二次)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澄城县卫生健康局养育未来项目养育中心硬装改造(二次)，其中澄城县惠安社区养育中心改造面积约510㎡、韦庄镇养育中心改造面积约320㎡，包含墙体、隔断、顶面、地面、防水、门、窗、卫生间等附属设施的拆除及新建，室外墙地面破损修复、电路改造、给排水管道工程等其他相关内容，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采购包1（养育未来项目养育中心硬装改造）：属于专门面向中小企业采购。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1、供应商资质：供应商具备建设行政主管部门颁发的建筑工程施工总承包或市政公用工程施工总承包三级及以上资质；具有有效的安全生产许可证；</w:t>
      </w:r>
    </w:p>
    <w:p>
      <w:pPr>
        <w:pStyle w:val="null3"/>
      </w:pPr>
      <w:r>
        <w:rPr>
          <w:rFonts w:ascii="仿宋_GB2312" w:hAnsi="仿宋_GB2312" w:cs="仿宋_GB2312" w:eastAsia="仿宋_GB2312"/>
        </w:rPr>
        <w:t>2、项目经理：项目经理须具有建筑工程专业二级及以上注册建造师证书和有效的安全生产考核合格证书，且未担任其他在建工程的项目经理；</w:t>
      </w:r>
    </w:p>
    <w:p>
      <w:pPr>
        <w:pStyle w:val="null3"/>
      </w:pPr>
      <w:r>
        <w:rPr>
          <w:rFonts w:ascii="仿宋_GB2312" w:hAnsi="仿宋_GB2312" w:cs="仿宋_GB2312" w:eastAsia="仿宋_GB2312"/>
        </w:rPr>
        <w:t>3、法定代表人身份证明/法定代表人授权委托书：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p>
      <w:pPr>
        <w:pStyle w:val="null3"/>
      </w:pPr>
      <w:r>
        <w:rPr>
          <w:rFonts w:ascii="仿宋_GB2312" w:hAnsi="仿宋_GB2312" w:cs="仿宋_GB2312" w:eastAsia="仿宋_GB2312"/>
        </w:rPr>
        <w:t>4、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5、非联合体声明：本项目不接受联合体投标。（提供非联合体声明, 格式自拟加盖投标人公章）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澄城县古徵街八路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13991546767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澄城县卫生健康局</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澄城县卫生健康局</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澄城县卫生健康局</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澄城县卫生健康局</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澄城县卫生健康局</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联系人：苏女士</w:t>
      </w:r>
    </w:p>
    <w:p>
      <w:pPr>
        <w:pStyle w:val="null3"/>
      </w:pPr>
      <w:r>
        <w:rPr>
          <w:rFonts w:ascii="仿宋_GB2312" w:hAnsi="仿宋_GB2312" w:cs="仿宋_GB2312" w:eastAsia="仿宋_GB2312"/>
        </w:rPr>
        <w:t>联系电话：13991546767</w:t>
      </w:r>
    </w:p>
    <w:p>
      <w:pPr>
        <w:pStyle w:val="null3"/>
      </w:pPr>
      <w:r>
        <w:rPr>
          <w:rFonts w:ascii="仿宋_GB2312" w:hAnsi="仿宋_GB2312" w:cs="仿宋_GB2312" w:eastAsia="仿宋_GB2312"/>
        </w:rPr>
        <w:t>地址：澄城县古徵街八路</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798,571.04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养育未来项目养育中心硬装改造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标的名称：养育未来项目养育中心硬装改造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color w:val="000000"/>
              </w:rPr>
              <w:t>一、工程概况</w:t>
            </w:r>
          </w:p>
          <w:p>
            <w:pPr>
              <w:pStyle w:val="null3"/>
              <w:ind w:firstLine="560"/>
              <w:jc w:val="both"/>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工</w:t>
            </w:r>
            <w:r>
              <w:rPr>
                <w:rFonts w:ascii="仿宋_GB2312" w:hAnsi="仿宋_GB2312" w:cs="仿宋_GB2312" w:eastAsia="仿宋_GB2312"/>
                <w:sz w:val="28"/>
                <w:color w:val="000000"/>
              </w:rPr>
              <w:t>程名称：</w:t>
            </w:r>
            <w:r>
              <w:rPr>
                <w:rFonts w:ascii="仿宋_GB2312" w:hAnsi="仿宋_GB2312" w:cs="仿宋_GB2312" w:eastAsia="仿宋_GB2312"/>
                <w:sz w:val="28"/>
                <w:color w:val="000000"/>
              </w:rPr>
              <w:t>澄城县卫生健康局养育未来项目养育中心硬装改造</w:t>
            </w:r>
            <w:r>
              <w:rPr>
                <w:rFonts w:ascii="仿宋_GB2312" w:hAnsi="仿宋_GB2312" w:cs="仿宋_GB2312" w:eastAsia="仿宋_GB2312"/>
                <w:sz w:val="28"/>
                <w:color w:val="000000"/>
              </w:rPr>
              <w:t>(二次)</w:t>
            </w:r>
          </w:p>
          <w:p>
            <w:pPr>
              <w:pStyle w:val="null3"/>
              <w:ind w:firstLine="840"/>
              <w:jc w:val="both"/>
            </w:pPr>
            <w:r>
              <w:rPr>
                <w:rFonts w:ascii="仿宋_GB2312" w:hAnsi="仿宋_GB2312" w:cs="仿宋_GB2312" w:eastAsia="仿宋_GB2312"/>
                <w:sz w:val="28"/>
                <w:color w:val="000000"/>
              </w:rPr>
              <w:t>建设地点：渭南市澄城县</w:t>
            </w:r>
          </w:p>
          <w:p>
            <w:pPr>
              <w:pStyle w:val="null3"/>
              <w:ind w:firstLine="840"/>
              <w:jc w:val="both"/>
            </w:pPr>
            <w:r>
              <w:rPr>
                <w:rFonts w:ascii="仿宋_GB2312" w:hAnsi="仿宋_GB2312" w:cs="仿宋_GB2312" w:eastAsia="仿宋_GB2312"/>
                <w:sz w:val="28"/>
                <w:color w:val="000000"/>
              </w:rPr>
              <w:t>工程内容：澄城县卫生健康局养育未来项目养育中心硬装改造</w:t>
            </w:r>
            <w:r>
              <w:rPr>
                <w:rFonts w:ascii="仿宋_GB2312" w:hAnsi="仿宋_GB2312" w:cs="仿宋_GB2312" w:eastAsia="仿宋_GB2312"/>
                <w:sz w:val="28"/>
                <w:color w:val="000000"/>
              </w:rPr>
              <w:t>(二次)</w:t>
            </w:r>
            <w:r>
              <w:rPr>
                <w:rFonts w:ascii="仿宋_GB2312" w:hAnsi="仿宋_GB2312" w:cs="仿宋_GB2312" w:eastAsia="仿宋_GB2312"/>
                <w:sz w:val="28"/>
                <w:color w:val="000000"/>
              </w:rPr>
              <w:t>，其中澄城县惠安社区养育中心改造面积约</w:t>
            </w:r>
            <w:r>
              <w:rPr>
                <w:rFonts w:ascii="仿宋_GB2312" w:hAnsi="仿宋_GB2312" w:cs="仿宋_GB2312" w:eastAsia="仿宋_GB2312"/>
                <w:sz w:val="28"/>
                <w:color w:val="000000"/>
              </w:rPr>
              <w:t>510㎡、韦庄镇养育中心改造面积约320㎡，包含墙体、隔断、顶面、地面、防水、门、窗、卫生间等附属设施的拆除及新建，室外墙地面破损修复、电路改造、给排水管道工程等其他相关内容，具体详见工程量清单。</w:t>
            </w:r>
          </w:p>
          <w:p>
            <w:pPr>
              <w:pStyle w:val="null3"/>
              <w:ind w:firstLine="840"/>
              <w:jc w:val="both"/>
            </w:pPr>
            <w:r>
              <w:rPr>
                <w:rFonts w:ascii="仿宋_GB2312" w:hAnsi="仿宋_GB2312" w:cs="仿宋_GB2312" w:eastAsia="仿宋_GB2312"/>
                <w:sz w:val="28"/>
                <w:b/>
                <w:color w:val="000000"/>
              </w:rPr>
              <w:t>二、计划工期</w:t>
            </w:r>
          </w:p>
          <w:p>
            <w:pPr>
              <w:pStyle w:val="null3"/>
              <w:ind w:firstLine="560"/>
              <w:jc w:val="both"/>
            </w:pPr>
            <w:r>
              <w:rPr>
                <w:rFonts w:ascii="仿宋_GB2312" w:hAnsi="仿宋_GB2312" w:cs="仿宋_GB2312" w:eastAsia="仿宋_GB2312"/>
                <w:sz w:val="28"/>
                <w:color w:val="000000"/>
              </w:rPr>
              <w:t>自合同签订之日起</w:t>
            </w:r>
            <w:r>
              <w:rPr>
                <w:rFonts w:ascii="仿宋_GB2312" w:hAnsi="仿宋_GB2312" w:cs="仿宋_GB2312" w:eastAsia="仿宋_GB2312"/>
                <w:sz w:val="28"/>
                <w:color w:val="000000"/>
              </w:rPr>
              <w:t>90日历天。</w:t>
            </w:r>
          </w:p>
          <w:p>
            <w:pPr>
              <w:pStyle w:val="null3"/>
              <w:ind w:firstLine="560"/>
              <w:jc w:val="both"/>
            </w:pPr>
            <w:r>
              <w:rPr>
                <w:rFonts w:ascii="仿宋_GB2312" w:hAnsi="仿宋_GB2312" w:cs="仿宋_GB2312" w:eastAsia="仿宋_GB2312"/>
                <w:sz w:val="28"/>
                <w:color w:val="000000"/>
              </w:rPr>
              <w:t>三、</w:t>
            </w:r>
            <w:r>
              <w:rPr>
                <w:rFonts w:ascii="仿宋_GB2312" w:hAnsi="仿宋_GB2312" w:cs="仿宋_GB2312" w:eastAsia="仿宋_GB2312"/>
                <w:sz w:val="28"/>
                <w:b/>
                <w:color w:val="000000"/>
              </w:rPr>
              <w:t>商务要求</w:t>
            </w:r>
          </w:p>
          <w:p>
            <w:pPr>
              <w:pStyle w:val="null3"/>
              <w:ind w:firstLine="560"/>
              <w:jc w:val="both"/>
            </w:pPr>
            <w:r>
              <w:rPr>
                <w:rFonts w:ascii="仿宋_GB2312" w:hAnsi="仿宋_GB2312" w:cs="仿宋_GB2312" w:eastAsia="仿宋_GB2312"/>
                <w:sz w:val="28"/>
                <w:color w:val="000000"/>
              </w:rPr>
              <w:t>合同签订</w:t>
            </w:r>
            <w:r>
              <w:rPr>
                <w:rFonts w:ascii="仿宋_GB2312" w:hAnsi="仿宋_GB2312" w:cs="仿宋_GB2312" w:eastAsia="仿宋_GB2312"/>
                <w:sz w:val="28"/>
                <w:color w:val="000000"/>
              </w:rPr>
              <w:t>,材料及设备进场后，达到预付款条件起15日内支付合同总金额的30%，完成工程量90%，达到付款条件起 30 日内，支付合同总金额的67%，工程竣工验收合格并办理竣工结算后,达到付款条件起 30 日内，支付剩余3%。质保期自工程竣工验收合格之日起计算。</w:t>
            </w:r>
          </w:p>
          <w:p>
            <w:pPr>
              <w:pStyle w:val="null3"/>
              <w:ind w:firstLine="562"/>
              <w:jc w:val="both"/>
            </w:pPr>
            <w:r>
              <w:rPr>
                <w:rFonts w:ascii="仿宋_GB2312" w:hAnsi="仿宋_GB2312" w:cs="仿宋_GB2312" w:eastAsia="仿宋_GB2312"/>
                <w:sz w:val="28"/>
                <w:b/>
                <w:color w:val="000000"/>
              </w:rPr>
              <w:t>四、其他</w:t>
            </w:r>
          </w:p>
          <w:p>
            <w:pPr>
              <w:pStyle w:val="null3"/>
              <w:ind w:firstLine="560"/>
              <w:jc w:val="both"/>
            </w:pPr>
            <w:r>
              <w:rPr>
                <w:rFonts w:ascii="仿宋_GB2312" w:hAnsi="仿宋_GB2312" w:cs="仿宋_GB2312" w:eastAsia="仿宋_GB2312"/>
                <w:sz w:val="28"/>
                <w:color w:val="000000"/>
              </w:rPr>
              <w:t>1.质量验收标准或规范：现行的国家标准或国家行政部门颁布的法律法规、规章制度等，是项目验收的另一个重要依据。没有国家标准的，可以参考行业标准。</w:t>
            </w:r>
          </w:p>
          <w:p>
            <w:pPr>
              <w:pStyle w:val="null3"/>
              <w:ind w:firstLine="560"/>
              <w:jc w:val="both"/>
            </w:pPr>
            <w:r>
              <w:rPr>
                <w:rFonts w:ascii="仿宋_GB2312" w:hAnsi="仿宋_GB2312" w:cs="仿宋_GB2312" w:eastAsia="仿宋_GB2312"/>
                <w:sz w:val="28"/>
                <w:color w:val="000000"/>
              </w:rPr>
              <w:t>2.保修期：竣工验收合格之日起，防水质保5年，其他质保2年。</w:t>
            </w:r>
          </w:p>
          <w:p>
            <w:pPr>
              <w:pStyle w:val="null3"/>
              <w:ind w:firstLine="560"/>
              <w:jc w:val="both"/>
            </w:pPr>
            <w:r>
              <w:rPr>
                <w:rFonts w:ascii="仿宋_GB2312" w:hAnsi="仿宋_GB2312" w:cs="仿宋_GB2312" w:eastAsia="仿宋_GB2312"/>
                <w:sz w:val="28"/>
                <w:color w:val="000000"/>
              </w:rPr>
              <w:t>3.编制软件采用广联达云计价平台GCCP7.0软件，版本号7.5000.23.1。</w:t>
            </w:r>
          </w:p>
          <w:p>
            <w:pPr>
              <w:pStyle w:val="null3"/>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《建筑工程施工质量验收统一标准》(GB50300-2024)</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详见拟签订合同文本</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(1)具有独立承担民事责任能力，提供供应商合法注册的法人或其他组织的营业执照； (2)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 (3)提供具有履行合同所必需的设备和专业技术能力的说明及承诺；（见附件） (4)税收缴纳证明：提供投标截止时间前六个月内任意一个月的纳税证明或完税证明；（以税款所属期为准，依法免税的应提供相关证明材料） (5)社会保障资金缴纳证明：供应商提供本单位2025年01月至今已缴纳的至少一个月的社会保障资金缴存单据或社保机构开具的社会保险参保缴费情况证明；（依法不需要缴纳社会保障资金的投标人应提供相关证明） (6)提供参加政府采购活动前三年内在经营活动中没有重大违法记录的书面声明；（见附件）</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(1)单位负责人为同一人或者存在直接控股、管理关系的不同供应商不得参加同一合同项下的政府采购活动；（提供承诺函，格式自拟加盖投标人公章） (2)为本项目提供整体设计、规范编制或者项目管理、监理、检测等服务的供应商，不得再参加该采购项目的其他采购活动。（提供声明, 格式自拟加盖投标人公章）</w:t>
            </w:r>
          </w:p>
        </w:tc>
        <w:tc>
          <w:tcPr>
            <w:tcW w:type="dxa" w:w="1661"/>
          </w:tcPr>
          <w:p>
            <w:pPr>
              <w:pStyle w:val="null3"/>
            </w:pPr>
            <w:r>
              <w:rPr>
                <w:rFonts w:ascii="仿宋_GB2312" w:hAnsi="仿宋_GB2312" w:cs="仿宋_GB2312" w:eastAsia="仿宋_GB2312"/>
              </w:rPr>
              <w:t>一般资格要求.docx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供应商具备建设行政主管部门颁发的建筑工程施工总承包或市政公用工程施工总承包三级及以上资质；具有有效的安全生产许可证；</w:t>
            </w:r>
          </w:p>
        </w:tc>
        <w:tc>
          <w:tcPr>
            <w:tcW w:type="dxa" w:w="1661"/>
          </w:tcPr>
          <w:p>
            <w:pPr>
              <w:pStyle w:val="null3"/>
            </w:pPr>
            <w:r>
              <w:rPr>
                <w:rFonts w:ascii="仿宋_GB2312" w:hAnsi="仿宋_GB2312" w:cs="仿宋_GB2312" w:eastAsia="仿宋_GB2312"/>
              </w:rPr>
              <w:t>特殊资格要求.docx 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项目经理须具有建筑工程专业二级及以上注册建造师证书和有效的安全生产考核合格证书，且未担任其他在建工程的项目经理；</w:t>
            </w:r>
          </w:p>
        </w:tc>
        <w:tc>
          <w:tcPr>
            <w:tcW w:type="dxa" w:w="1661"/>
          </w:tcPr>
          <w:p>
            <w:pPr>
              <w:pStyle w:val="null3"/>
            </w:pPr>
            <w:r>
              <w:rPr>
                <w:rFonts w:ascii="仿宋_GB2312" w:hAnsi="仿宋_GB2312" w:cs="仿宋_GB2312" w:eastAsia="仿宋_GB2312"/>
              </w:rPr>
              <w:t>特殊资格要求.docx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特殊资格要求.docx 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特殊资格要求.docx 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本项目不接受联合体投标。（提供非联合体声明, 格式自拟加盖投标人公章）</w:t>
            </w:r>
          </w:p>
        </w:tc>
        <w:tc>
          <w:tcPr>
            <w:tcW w:type="dxa" w:w="1661"/>
          </w:tcPr>
          <w:p>
            <w:pPr>
              <w:pStyle w:val="null3"/>
            </w:pPr>
            <w:r>
              <w:rPr>
                <w:rFonts w:ascii="仿宋_GB2312" w:hAnsi="仿宋_GB2312" w:cs="仿宋_GB2312" w:eastAsia="仿宋_GB2312"/>
              </w:rPr>
              <w:t>特殊资格要求.docx 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已标价工程量清单 中小企业声明函 一般资格要求.docx 强制优先采购产品承诺函 响应文件封面 供应商应提交的相关资格证明材料.docx 特殊资格要求.docx 项目管理机构组成表 残疾人福利性单位声明函 报价函 业绩证明材料.docx 技术响应文件.docx 标的清单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自磋商响应文件递交之日起不少于90日历天。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已标价工程量清单 中小企业声明函 一般资格要求.docx 强制优先采购产品承诺函 响应文件封面 特殊资格要求.docx 项目管理机构组成表 残疾人福利性单位声明函 报价函 业绩证明材料.docx 技术响应文件.docx 标的清单 响应函 陕西省政府采购供应商拒绝政府采购领域商业贿赂承诺书.docx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 中小企业声明函 一般资格要求.docx 强制优先采购产品承诺函 响应文件封面 特殊资格要求.docx 项目管理机构组成表 残疾人福利性单位声明函 报价函 业绩证明材料.docx 技术响应文件.docx 标的清单 响应函 主要人员简历表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针对本项目提供的实施方案进行综合评审，方案包含：①施工组织方案；②项目管理目标；③工期方案；④验收方案；⑤到场离场计划；⑥环境保护措施；⑦文明施工方案。二、评审标准 完整性：方案必须全面，对评审内容中的各项要求有详细描述； 可实施性：切合本项目实际情况，提出步骤清晰、合理的方案； 针对性：方案能够紧扣项目实际情况，内容科学合理。 三、赋分标准 ①施工组织方案：完全满足每个评审标准得1分，有瑕疵得0.5分，有缺陷得0分。满分3分。 ②项目管理目标：完全满足每个评审标准得1分，有瑕疵得0.5分，有缺陷得0分。满分3分。 ③工期方案：完全满足每个评审标准得1分，有瑕疵得0.5分，有缺陷得0分。满分3分。 ④验收方案：完全满足每个评审标准得1分，有瑕疵得0.5分，有缺陷得0分。满分3分。 ⑤到场离场计划：完全满足每个评审标准得1分，有瑕疵得0.5分，有缺陷得0分。满分3分。 ⑥环境保护措施：完全满足每个评审标准得1分，有瑕疵得0.5分，有缺陷得0分。满分3分。 ⑦文明施工方案：完全满足每个评审标准得1分，有瑕疵得0.5分，有缺陷得0分。满分3分。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 ①质量目标管理体系:每完全满足一个评审标准得0.5分，满分1.5分; ②施工质量的检验制度:每完全满足一个评审标准得0.5分，满分1.5分;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 ①施工进度计划横道图:每完全满足一个评审标准得1分，满分3分;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3、针对性:方案能够紧扣项目实际情况，内容科学合理。 三、赋分标准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有详细的针对本项目工程的售后服务承诺及说明②工程竣工验收合格后使用过程中因质量问题而产生的补救措施③应急预案、响应时间及措施。完全满足每个评审标准得2分，满分6分，存在瑕疵的一项扣0-2分，扣完为止。备注：瑕疵是指存在不完全满足评分标准，但项目仍可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提供2023年1月1日起至今同类项目业绩（附合同复印件或中标通知书，时间以合同签订时间或中标通知书时间为准），每提供一个计1分，总分5分，不提供不得分；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p>
            <w:pPr>
              <w:pStyle w:val="null3"/>
            </w:pPr>
            <w:r>
              <w:rPr>
                <w:rFonts w:ascii="仿宋_GB2312" w:hAnsi="仿宋_GB2312" w:cs="仿宋_GB2312" w:eastAsia="仿宋_GB2312"/>
              </w:rPr>
              <w:t>技术响应文件.docx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35（报价高于预算或低于成本价为无效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详见附件：技术响应文件.docx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