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版本号：YZYZB-2025145号20251119001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澄城县2025年度大中型水库移民后期扶持第三批项目监理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YZYZB-2025145号</w:t>
      </w:r>
      <w:r>
        <w:br/>
      </w:r>
      <w:r>
        <w:br/>
      </w:r>
      <w:r>
        <w:br/>
      </w:r>
    </w:p>
    <w:p>
      <w:pPr>
        <w:pStyle w:val="null3"/>
        <w:jc w:val="center"/>
        <w:outlineLvl w:val="2"/>
      </w:pPr>
      <w:r>
        <w:rPr>
          <w:rFonts w:ascii="仿宋_GB2312" w:hAnsi="仿宋_GB2312" w:cs="仿宋_GB2312" w:eastAsia="仿宋_GB2312"/>
          <w:sz w:val="28"/>
          <w:b/>
        </w:rPr>
        <w:t>澄城县移民发展中心</w:t>
      </w:r>
    </w:p>
    <w:p>
      <w:pPr>
        <w:pStyle w:val="null3"/>
        <w:jc w:val="center"/>
        <w:outlineLvl w:val="2"/>
      </w:pPr>
      <w:r>
        <w:rPr>
          <w:rFonts w:ascii="仿宋_GB2312" w:hAnsi="仿宋_GB2312" w:cs="仿宋_GB2312" w:eastAsia="仿宋_GB2312"/>
          <w:sz w:val="28"/>
          <w:b/>
        </w:rPr>
        <w:t>陕西亚正亚建设工程技术咨询有限公司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陕西亚正亚建设工程技术咨询有限公司</w:t>
      </w:r>
      <w:r>
        <w:rPr>
          <w:rFonts w:ascii="仿宋_GB2312" w:hAnsi="仿宋_GB2312" w:cs="仿宋_GB2312" w:eastAsia="仿宋_GB2312"/>
        </w:rPr>
        <w:t>（以下简称“代理机构”）受</w:t>
      </w:r>
      <w:r>
        <w:rPr>
          <w:rFonts w:ascii="仿宋_GB2312" w:hAnsi="仿宋_GB2312" w:cs="仿宋_GB2312" w:eastAsia="仿宋_GB2312"/>
        </w:rPr>
        <w:t>澄城县移民发展中心</w:t>
      </w:r>
      <w:r>
        <w:rPr>
          <w:rFonts w:ascii="仿宋_GB2312" w:hAnsi="仿宋_GB2312" w:cs="仿宋_GB2312" w:eastAsia="仿宋_GB2312"/>
        </w:rPr>
        <w:t>委托，拟对</w:t>
      </w:r>
      <w:r>
        <w:rPr>
          <w:rFonts w:ascii="仿宋_GB2312" w:hAnsi="仿宋_GB2312" w:cs="仿宋_GB2312" w:eastAsia="仿宋_GB2312"/>
        </w:rPr>
        <w:t>澄城县2025年度大中型水库移民后期扶持第三批项目监理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YZYZB-2025145号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澄城县2025年度大中型水库移民后期扶持第三批项目监理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澄城县2025年度大中型水库移民后期扶持项目第三批项目施工全过程监理等。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采购包1（澄城县2025年度大中型水库移民后期扶持第三批项目监理）：属于专门面向中小企业采购。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提供供应商合法注册的法人或其他组织的营业执照；供应商需在项目电子化交易系统中按要求上传相应证明文件并进行电子签章。</w:t>
      </w:r>
    </w:p>
    <w:p>
      <w:pPr>
        <w:pStyle w:val="null3"/>
      </w:pPr>
      <w:r>
        <w:rPr>
          <w:rFonts w:ascii="仿宋_GB2312" w:hAnsi="仿宋_GB2312" w:cs="仿宋_GB2312" w:eastAsia="仿宋_GB2312"/>
        </w:rPr>
        <w:t>2、法定代表人身份证明：法定代表人授权书(法定代表人直接参加的不提供，但须出具本人身份证原件及复印件，被授权人身份证原件及复印件);(注：被授权人须为本单位在职员工并提供投标截止日前三个月社会保障资金凭证并加盖投标人公章)；供应商需在项目电子化交易系统中按要求上传相应证明文件并进行电子签章。</w:t>
      </w:r>
    </w:p>
    <w:p>
      <w:pPr>
        <w:pStyle w:val="null3"/>
      </w:pPr>
      <w:r>
        <w:rPr>
          <w:rFonts w:ascii="仿宋_GB2312" w:hAnsi="仿宋_GB2312" w:cs="仿宋_GB2312" w:eastAsia="仿宋_GB2312"/>
        </w:rPr>
        <w:t>3、社会保障资金缴纳证明：提供投标截止时间前六个月内任意一个月的社会保障资金缴存单据或社保机构开具的社会保险参保缴费情况证明；(依法不需要缴纳社会保障资金的投标人应提供相关证明)；供应商需在项目电子化交易系统中按要求上传相应证明文件并进行电子签章。</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供应商需在项目电子化交易系统中按要求上传相应证明文件并进行电子签章。</w:t>
      </w:r>
    </w:p>
    <w:p>
      <w:pPr>
        <w:pStyle w:val="null3"/>
      </w:pPr>
      <w:r>
        <w:rPr>
          <w:rFonts w:ascii="仿宋_GB2312" w:hAnsi="仿宋_GB2312" w:cs="仿宋_GB2312" w:eastAsia="仿宋_GB2312"/>
        </w:rPr>
        <w:t>5、参加政府采购活动前三年内，在经营活动中没有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信用查询：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7、书面声明：提供具有履行合同所必需的设备和专业技术能力的说明及承诺；供应商需在项目电子化交易系统中按要求上传相应证明文件并进行电子签章。</w:t>
      </w:r>
    </w:p>
    <w:p>
      <w:pPr>
        <w:pStyle w:val="null3"/>
      </w:pPr>
      <w:r>
        <w:rPr>
          <w:rFonts w:ascii="仿宋_GB2312" w:hAnsi="仿宋_GB2312" w:cs="仿宋_GB2312" w:eastAsia="仿宋_GB2312"/>
        </w:rPr>
        <w:t>8、企业资质：供应商需具备工程监理综合资质或市政公用工程监理丙级(含丙级)或以上资质；供应商需在项目电子化交易系统中按要求上传相应证明文件并进行电子签章。</w:t>
      </w:r>
    </w:p>
    <w:p>
      <w:pPr>
        <w:pStyle w:val="null3"/>
      </w:pPr>
      <w:r>
        <w:rPr>
          <w:rFonts w:ascii="仿宋_GB2312" w:hAnsi="仿宋_GB2312" w:cs="仿宋_GB2312" w:eastAsia="仿宋_GB2312"/>
        </w:rPr>
        <w:t>9、项目总监：拟派总监理工程师须具备市政工程或建筑工程专业国家注册监理工程师执业资格，在本单位注册，且未担任其他在建项目项目总监。供应商需在项目电子化交易系统中按要求上传相应证明文件并进行电子签章。</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11、本项目不接受联合体投标：本项目不接受联合体投标，供应商需在项目电子化交易系统中按要求上传相应承诺文件并进行电子签章。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澄城县移民发展中心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澄城县古徵街五路口北移民局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0913-6868391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陕西亚正亚建设工程技术咨询有限公司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西安市未央区湖北大厦2号楼1507室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13572476552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代理服务费收费标准：参照国家计委《招标代理服务收费管理暂行办法》（计价格【2002】1980号）及发改办价格【2003】857号文件规定计取，不足5000元按5000元计取。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澄城县移民发展中心</w:t>
      </w:r>
      <w:r>
        <w:rPr>
          <w:rFonts w:ascii="仿宋_GB2312" w:hAnsi="仿宋_GB2312" w:cs="仿宋_GB2312" w:eastAsia="仿宋_GB2312"/>
        </w:rPr>
        <w:t>和</w:t>
      </w:r>
      <w:r>
        <w:rPr>
          <w:rFonts w:ascii="仿宋_GB2312" w:hAnsi="仿宋_GB2312" w:cs="仿宋_GB2312" w:eastAsia="仿宋_GB2312"/>
        </w:rPr>
        <w:t>陕西亚正亚建设工程技术咨询有限公司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澄城县移民发展中心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陕西亚正亚建设工程技术咨询有限公司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澄城县移民发展中心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陕西亚正亚建设工程技术咨询有限公司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陕西亚正亚建设工程技术咨询有限公司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陕西亚正亚建设工程技术咨询有限公司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陕西亚正亚建设工程技术咨询有限公司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联系电话：13572476552</w:t>
      </w:r>
    </w:p>
    <w:p>
      <w:pPr>
        <w:pStyle w:val="null3"/>
      </w:pPr>
      <w:r>
        <w:rPr>
          <w:rFonts w:ascii="仿宋_GB2312" w:hAnsi="仿宋_GB2312" w:cs="仿宋_GB2312" w:eastAsia="仿宋_GB2312"/>
        </w:rPr>
        <w:t>地址：西安市未央区湖北大厦2号楼1507室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澄城县2025年度大中型水库移民后期扶持项目第三批项目施工全过程监理等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150,800.00</w:t>
      </w:r>
    </w:p>
    <w:p>
      <w:pPr>
        <w:pStyle w:val="null3"/>
      </w:pPr>
      <w:r>
        <w:rPr>
          <w:rFonts w:ascii="仿宋_GB2312" w:hAnsi="仿宋_GB2312" w:cs="仿宋_GB2312" w:eastAsia="仿宋_GB2312"/>
        </w:rPr>
        <w:t>采购包最高限价（元）: 150,800.00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150800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标的名称：150800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、服务内容和标准：</w:t>
            </w:r>
          </w:p>
          <w:p>
            <w:pPr>
              <w:pStyle w:val="null3"/>
              <w:ind w:firstLine="482"/>
              <w:jc w:val="both"/>
            </w:pPr>
            <w:r>
              <w:rPr>
                <w:rFonts w:ascii="仿宋_GB2312" w:hAnsi="仿宋_GB2312" w:cs="仿宋_GB2312" w:eastAsia="仿宋_GB2312"/>
                <w:sz w:val="24"/>
                <w:b/>
              </w:rPr>
              <w:t>1.服务内容</w:t>
            </w:r>
          </w:p>
          <w:p>
            <w:pPr>
              <w:pStyle w:val="null3"/>
              <w:ind w:firstLine="480"/>
              <w:jc w:val="both"/>
            </w:pPr>
            <w:r>
              <w:rPr>
                <w:rFonts w:ascii="仿宋_GB2312" w:hAnsi="仿宋_GB2312" w:cs="仿宋_GB2312" w:eastAsia="仿宋_GB2312"/>
              </w:rPr>
              <w:t>澄城县</w:t>
            </w:r>
            <w:r>
              <w:rPr>
                <w:rFonts w:ascii="仿宋_GB2312" w:hAnsi="仿宋_GB2312" w:cs="仿宋_GB2312" w:eastAsia="仿宋_GB2312"/>
              </w:rPr>
              <w:t>2025年度大中型水库移民后期扶持项目第三批项目施工全过程监理。</w:t>
            </w:r>
          </w:p>
          <w:p>
            <w:pPr>
              <w:pStyle w:val="null3"/>
              <w:ind w:firstLine="482"/>
              <w:jc w:val="both"/>
            </w:pPr>
            <w:r>
              <w:rPr>
                <w:rFonts w:ascii="仿宋_GB2312" w:hAnsi="仿宋_GB2312" w:cs="仿宋_GB2312" w:eastAsia="仿宋_GB2312"/>
                <w:sz w:val="24"/>
                <w:b/>
              </w:rPr>
              <w:t>2.服务标准</w:t>
            </w:r>
          </w:p>
          <w:p>
            <w:pPr>
              <w:pStyle w:val="null3"/>
              <w:ind w:firstLine="480"/>
              <w:jc w:val="both"/>
            </w:pPr>
            <w:r>
              <w:rPr>
                <w:rFonts w:ascii="仿宋_GB2312" w:hAnsi="仿宋_GB2312" w:cs="仿宋_GB2312" w:eastAsia="仿宋_GB2312"/>
              </w:rPr>
              <w:t>必须按照国家标准及行业相关标准实施，以相关国家标准为验收标准。</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、服务承诺</w:t>
            </w:r>
          </w:p>
          <w:p>
            <w:pPr>
              <w:pStyle w:val="null3"/>
              <w:ind w:firstLine="480"/>
              <w:jc w:val="both"/>
            </w:pPr>
            <w:r>
              <w:rPr>
                <w:rFonts w:ascii="仿宋_GB2312" w:hAnsi="仿宋_GB2312" w:cs="仿宋_GB2312" w:eastAsia="仿宋_GB2312"/>
              </w:rPr>
              <w:t>供应商应遵照竞争性磋商文件、国家规范规定的技术服务内容及要求作出明确服务及承诺。</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工程质量标准、期限、效率等要求</w:t>
            </w:r>
          </w:p>
          <w:p>
            <w:pPr>
              <w:pStyle w:val="null3"/>
              <w:ind w:firstLine="480"/>
              <w:jc w:val="both"/>
            </w:pPr>
            <w:r>
              <w:rPr>
                <w:rFonts w:ascii="仿宋_GB2312" w:hAnsi="仿宋_GB2312" w:cs="仿宋_GB2312" w:eastAsia="仿宋_GB2312"/>
              </w:rPr>
              <w:t>1、除合同另有约定</w:t>
            </w:r>
            <w:r>
              <w:rPr>
                <w:rFonts w:ascii="仿宋_GB2312" w:hAnsi="仿宋_GB2312" w:cs="仿宋_GB2312" w:eastAsia="仿宋_GB2312"/>
              </w:rPr>
              <w:t>外，本工程适用现行国家、省、市、行业和地方规范、标准和规程。</w:t>
            </w:r>
          </w:p>
          <w:p>
            <w:pPr>
              <w:pStyle w:val="null3"/>
              <w:ind w:firstLine="480"/>
              <w:jc w:val="both"/>
            </w:pPr>
            <w:r>
              <w:rPr>
                <w:rFonts w:ascii="仿宋_GB2312" w:hAnsi="仿宋_GB2312" w:cs="仿宋_GB2312" w:eastAsia="仿宋_GB2312"/>
              </w:rPr>
              <w:t>2、规范、标准和规程如发生不一致时，则以要求最</w:t>
            </w:r>
            <w:r>
              <w:rPr>
                <w:rFonts w:ascii="仿宋_GB2312" w:hAnsi="仿宋_GB2312" w:cs="仿宋_GB2312" w:eastAsia="仿宋_GB2312"/>
              </w:rPr>
              <w:t>为严格的规范、规程或标准作为工作依据、</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3、在合同履行期间,监理人应满足委托人的特定技术要求满足设计要求，满足陕西省及渭南市的有关强制性规定:监理人应严格执行中华人民共和国强制性标准，执行现行的或即将颁布的行业标准、规范;如有新颁国家标准及行业标准、规范委托人指令执行时，监理人应当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1、在服务范围内按工作内容和要求制定详细的方案方案科学、合理、可靠。 2、有各类突发事件的应急预案和措施，有明确具体的承诺。 3、供应商所拟派的工作人员，若在服务期间发生任何伤害，采购人概不负责，由供应商自行处理。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合同签后订 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渭南市澄城县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1、按要求完成全部工程监理内容; 2、本工程验收标准应符合国家相关工程管理规定及行业标准以及图纸要求等;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工程施工形象进度完成一半后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工程完成竣工验收合格后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监理与相关服务期届满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三、资格证明文件.docx 五、供应商承诺书.docx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w:t>
            </w:r>
          </w:p>
        </w:tc>
        <w:tc>
          <w:tcPr>
            <w:tcW w:type="dxa" w:w="3322"/>
          </w:tcPr>
          <w:p>
            <w:pPr>
              <w:pStyle w:val="null3"/>
            </w:pPr>
            <w:r>
              <w:rPr>
                <w:rFonts w:ascii="仿宋_GB2312" w:hAnsi="仿宋_GB2312" w:cs="仿宋_GB2312" w:eastAsia="仿宋_GB2312"/>
              </w:rPr>
              <w:t>法定代表人授权书(法定代表人直接参加的不提供，但须出具本人身份证原件及复印件，被授权人身份证原件及复印件);(注：被授权人须为本单位在职员工并提供投标截止日前三个月社会保障资金凭证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二、法定代表人授权委托书.docx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任意一个月的社会保障资金缴存单据或社保机构开具的社会保险参保缴费情况证明；(依法不需要缴纳社会保障资金的投标人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 附件1.参加本次政府采购活动前三年内，在经营活动中没有重大违法记录的书面声明docx.docx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提供具有履行合同所必需的设备和专业技术能力的说明及承诺；供应商需在项目电子化交易系统中按要求上传相应证明文件并进行电子签章。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 附件2.供应商具有履行合同所必需的设备和专业技术能力的承诺docx.docx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供应商需具备工程监理综合资质或市政公用工程监理丙级(含丙级)或以上资质；供应商需在项目电子化交易系统中按要求上传相应证明文件并进行电子签章。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 六、其它资料.docx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拟派总监理工程师须具备市政工程或建筑工程专业国家注册监理工程师执业资格，在本单位注册，且未担任其他在建项目项目总监。供应商需在项目电子化交易系统中按要求上传相应证明文件并进行电子签章。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 六、其它资料.docx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 附件4：企业关系关联承诺书.docx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本项目不接受联合体投标，供应商需在项目电子化交易系统中按要求上传相应承诺文件并进行电子签章。</w:t>
            </w:r>
          </w:p>
        </w:tc>
        <w:tc>
          <w:tcPr>
            <w:tcW w:type="dxa" w:w="1661"/>
          </w:tcPr>
          <w:p>
            <w:pPr>
              <w:pStyle w:val="null3"/>
            </w:pPr>
            <w:r>
              <w:rPr>
                <w:rFonts w:ascii="仿宋_GB2312" w:hAnsi="仿宋_GB2312" w:cs="仿宋_GB2312" w:eastAsia="仿宋_GB2312"/>
              </w:rPr>
              <w:t>三、资格证明文件.docx 附件3.非联合体投标声明docx.docx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响应文件按竞争性磋商文件要求签署、盖章</w:t>
            </w:r>
          </w:p>
        </w:tc>
        <w:tc>
          <w:tcPr>
            <w:tcW w:type="dxa" w:w="1661"/>
          </w:tcPr>
          <w:p>
            <w:pPr>
              <w:pStyle w:val="null3"/>
            </w:pPr>
            <w:r>
              <w:rPr>
                <w:rFonts w:ascii="仿宋_GB2312" w:hAnsi="仿宋_GB2312" w:cs="仿宋_GB2312" w:eastAsia="仿宋_GB2312"/>
              </w:rPr>
              <w:t>响应文件封面 六、其它资料.docx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磋商报价未高于最高限价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监理服务方案</w:t>
            </w:r>
          </w:p>
        </w:tc>
        <w:tc>
          <w:tcPr>
            <w:tcW w:type="dxa" w:w="2492"/>
          </w:tcPr>
          <w:p>
            <w:pPr>
              <w:pStyle w:val="null3"/>
            </w:pPr>
            <w:r>
              <w:rPr>
                <w:rFonts w:ascii="仿宋_GB2312" w:hAnsi="仿宋_GB2312" w:cs="仿宋_GB2312" w:eastAsia="仿宋_GB2312"/>
              </w:rPr>
              <w:t>针对本项目提供监理服务方案，内容包括但不限于①质量控制管理；②组织协调和工作程序、方法和制度。以上内容专门针对本项目且符合本项目实际需求的得8分，每缺一项内容扣4分 , 若上述内容存在瑕疵，每出现一处瑕疵扣2分，扣完为止。“瑕疵”指内容明显错误，或内容表述前后矛盾或内容不完整或表达简单笼统或缺少关键点，或不适用本项目特性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项目建设的资金使用、成本控制和变更管理的控制手段和管理方法</w:t>
            </w:r>
          </w:p>
        </w:tc>
        <w:tc>
          <w:tcPr>
            <w:tcW w:type="dxa" w:w="2492"/>
          </w:tcPr>
          <w:p>
            <w:pPr>
              <w:pStyle w:val="null3"/>
            </w:pPr>
            <w:r>
              <w:rPr>
                <w:rFonts w:ascii="仿宋_GB2312" w:hAnsi="仿宋_GB2312" w:cs="仿宋_GB2312" w:eastAsia="仿宋_GB2312"/>
              </w:rPr>
              <w:t>根据对项目建设的资金使用、成本控制和变更管理的控制手段和管理方法响应程度，单项内容全面具体、科学合理、针对性和可行性强的得7分； 单项内容基本全面、较为合理、部分内容优化完善后较有针对性和可行性的得4分； 单项内容不全面、欠缺合理性、针对性和可行性差的得2分；未提供或脱离项目实际的不得分。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重点、难点问题分析及解决措施</w:t>
            </w:r>
          </w:p>
        </w:tc>
        <w:tc>
          <w:tcPr>
            <w:tcW w:type="dxa" w:w="2492"/>
          </w:tcPr>
          <w:p>
            <w:pPr>
              <w:pStyle w:val="null3"/>
            </w:pPr>
            <w:r>
              <w:rPr>
                <w:rFonts w:ascii="仿宋_GB2312" w:hAnsi="仿宋_GB2312" w:cs="仿宋_GB2312" w:eastAsia="仿宋_GB2312"/>
              </w:rPr>
              <w:t>根据对重点、难点问题分析及解决措施响应程度，单项内容全面具体、科学合理、针对性和可行性强的得7分； 单项内容基本全面、较为合理、部分内容优化完善后较有针对性和可行性的得4分； 单项内容不全面、欠缺合理性、针对性和可行性差的得2分； 未提供或脱离项目实际的不得分。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工作进度及管理措施</w:t>
            </w:r>
          </w:p>
        </w:tc>
        <w:tc>
          <w:tcPr>
            <w:tcW w:type="dxa" w:w="2492"/>
          </w:tcPr>
          <w:p>
            <w:pPr>
              <w:pStyle w:val="null3"/>
            </w:pPr>
            <w:r>
              <w:rPr>
                <w:rFonts w:ascii="仿宋_GB2312" w:hAnsi="仿宋_GB2312" w:cs="仿宋_GB2312" w:eastAsia="仿宋_GB2312"/>
              </w:rPr>
              <w:t>根据对工作进度及管理措施响应程度单项内容全面具体、科学合理、针对性和可行性强的得8分； 单项内容基本全面、较为合理、部分内容优化完善后较有针对性和可行性的得5分；单项内容不全面、欠缺合理性、针对性和可行性差的得3分； 未提供或脱离项目实际的不得分。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合同和信息管理</w:t>
            </w:r>
          </w:p>
        </w:tc>
        <w:tc>
          <w:tcPr>
            <w:tcW w:type="dxa" w:w="2492"/>
          </w:tcPr>
          <w:p>
            <w:pPr>
              <w:pStyle w:val="null3"/>
            </w:pPr>
            <w:r>
              <w:rPr>
                <w:rFonts w:ascii="仿宋_GB2312" w:hAnsi="仿宋_GB2312" w:cs="仿宋_GB2312" w:eastAsia="仿宋_GB2312"/>
              </w:rPr>
              <w:t>根据对①合同管理、②信息管理的响应程度。 以上内容专门针对本项目且符合本项目实际需求的得5分，每缺一项内容扣2.5分 , 若上述内容存在瑕疵，每出现一处瑕疵扣2分，扣完为止。“瑕疵”指内容明显错误，或内容表述前后矛盾或内容不完整或表达简单笼统或缺少关键点，或不适用本项目特性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根据对①监理范围、②服务内容、③监理依据的响应程度。 以上内容专门针对本项目且符合本项目实际需求的得6分，每缺一项内容扣2分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根据对监理①机构设置、②组成人员、③岗位职责、业务素质的响应程度。 以上内容专门针对本项目且符合本项目实际需求的得6分，每缺一项内容扣2分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供应商提供拟投入本项目的监理设施、设备、仪器配置，评审内容包括但不限于①设备、仪器种类；②设备、仪器使用年限；③设备、仪器可行性等。以上内容专门针对本项目且符合本项目实际需求的得6分，每缺一项内容扣2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环境、资金控制措施</w:t>
            </w:r>
          </w:p>
        </w:tc>
        <w:tc>
          <w:tcPr>
            <w:tcW w:type="dxa" w:w="2492"/>
          </w:tcPr>
          <w:p>
            <w:pPr>
              <w:pStyle w:val="null3"/>
            </w:pPr>
            <w:r>
              <w:rPr>
                <w:rFonts w:ascii="仿宋_GB2312" w:hAnsi="仿宋_GB2312" w:cs="仿宋_GB2312" w:eastAsia="仿宋_GB2312"/>
              </w:rPr>
              <w:t>根据对①环境控制、②资金控制措施的响应程度。 以上内容专门针对本项目且符合本项目实际需求的得5分，每缺一项内容扣2.5分 , 若上述内容存在瑕疵，每出现一处瑕疵扣2分，扣完为止。“瑕疵”指内容明显错误，或内容表述前后矛盾或内容不完整或表达简单笼统或缺少关键点，或不适用本项目特性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安全、进度控制措施</w:t>
            </w:r>
          </w:p>
        </w:tc>
        <w:tc>
          <w:tcPr>
            <w:tcW w:type="dxa" w:w="2492"/>
          </w:tcPr>
          <w:p>
            <w:pPr>
              <w:pStyle w:val="null3"/>
            </w:pPr>
            <w:r>
              <w:rPr>
                <w:rFonts w:ascii="仿宋_GB2312" w:hAnsi="仿宋_GB2312" w:cs="仿宋_GB2312" w:eastAsia="仿宋_GB2312"/>
              </w:rPr>
              <w:t>根据对①安全控制、②进度控制的响应程度。 以上内容专门针对本项目且符合本项目实际需求的得5分，每缺一项内容扣2.5分 , 若上述内容存在瑕疵，每出现一处瑕疵扣2分，扣完为止。“瑕疵”指内容明显错误，或内容表述前后矛盾或内容不完整或表达简单笼统或缺少关键点，或不适用本项目特性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合理化建议全面具体、针对性强、科学可行的得5分； 合理化建议较为具体、针对性较好、细节待完善、基本可行的得3分；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单项内容全面具体、科学合理、针对性和可行性强的得5分； 单项内容基本全面、较为合理、部分内容优化完善后较有针对性和可行性的得3分；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提供2022年1月1日起至今（时间以合同签订时间为准）同类项目业绩，业绩以合同扫描件（复印件）为依据；每提供1个业绩得2分，最多得4分。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四、评审办法响应及服务方案.docx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详见附件：二、法定代表人授权委托书.docx</w:t>
      </w:r>
    </w:p>
    <w:p>
      <w:pPr>
        <w:pStyle w:val="null3"/>
        <w:ind w:firstLine="960"/>
      </w:pPr>
      <w:r>
        <w:rPr>
          <w:rFonts w:ascii="仿宋_GB2312" w:hAnsi="仿宋_GB2312" w:cs="仿宋_GB2312" w:eastAsia="仿宋_GB2312"/>
        </w:rPr>
        <w:t>详见附件：三、资格证明文件.docx</w:t>
      </w:r>
    </w:p>
    <w:p>
      <w:pPr>
        <w:pStyle w:val="null3"/>
        <w:ind w:firstLine="960"/>
      </w:pPr>
      <w:r>
        <w:rPr>
          <w:rFonts w:ascii="仿宋_GB2312" w:hAnsi="仿宋_GB2312" w:cs="仿宋_GB2312" w:eastAsia="仿宋_GB2312"/>
        </w:rPr>
        <w:t>详见附件：四、评审办法响应及服务方案.docx</w:t>
      </w:r>
    </w:p>
    <w:p>
      <w:pPr>
        <w:pStyle w:val="null3"/>
        <w:ind w:firstLine="960"/>
      </w:pPr>
      <w:r>
        <w:rPr>
          <w:rFonts w:ascii="仿宋_GB2312" w:hAnsi="仿宋_GB2312" w:cs="仿宋_GB2312" w:eastAsia="仿宋_GB2312"/>
        </w:rPr>
        <w:t>详见附件：五、供应商承诺书.docx</w:t>
      </w:r>
    </w:p>
    <w:p>
      <w:pPr>
        <w:pStyle w:val="null3"/>
        <w:ind w:firstLine="960"/>
      </w:pPr>
      <w:r>
        <w:rPr>
          <w:rFonts w:ascii="仿宋_GB2312" w:hAnsi="仿宋_GB2312" w:cs="仿宋_GB2312" w:eastAsia="仿宋_GB2312"/>
        </w:rPr>
        <w:t>详见附件：六、其它资料.docx</w:t>
      </w:r>
    </w:p>
    <w:p>
      <w:pPr>
        <w:pStyle w:val="null3"/>
        <w:ind w:firstLine="960"/>
      </w:pPr>
      <w:r>
        <w:rPr>
          <w:rFonts w:ascii="仿宋_GB2312" w:hAnsi="仿宋_GB2312" w:cs="仿宋_GB2312" w:eastAsia="仿宋_GB2312"/>
        </w:rPr>
        <w:t>详见附件：附件1.参加本次政府采购活动前三年内，在经营活动中没有重大违法记录的书面声明docx.docx</w:t>
      </w:r>
    </w:p>
    <w:p>
      <w:pPr>
        <w:pStyle w:val="null3"/>
        <w:ind w:firstLine="960"/>
      </w:pPr>
      <w:r>
        <w:rPr>
          <w:rFonts w:ascii="仿宋_GB2312" w:hAnsi="仿宋_GB2312" w:cs="仿宋_GB2312" w:eastAsia="仿宋_GB2312"/>
        </w:rPr>
        <w:t>详见附件：附件2.供应商具有履行合同所必需的设备和专业技术能力的承诺docx.docx</w:t>
      </w:r>
    </w:p>
    <w:p>
      <w:pPr>
        <w:pStyle w:val="null3"/>
        <w:ind w:firstLine="960"/>
      </w:pPr>
      <w:r>
        <w:rPr>
          <w:rFonts w:ascii="仿宋_GB2312" w:hAnsi="仿宋_GB2312" w:cs="仿宋_GB2312" w:eastAsia="仿宋_GB2312"/>
        </w:rPr>
        <w:t>详见附件：附件3.非联合体投标声明docx.docx</w:t>
      </w:r>
    </w:p>
    <w:p>
      <w:pPr>
        <w:pStyle w:val="null3"/>
        <w:ind w:firstLine="960"/>
      </w:pPr>
      <w:r>
        <w:rPr>
          <w:rFonts w:ascii="仿宋_GB2312" w:hAnsi="仿宋_GB2312" w:cs="仿宋_GB2312" w:eastAsia="仿宋_GB2312"/>
        </w:rPr>
        <w:t>详见附件：附件4：企业关系关联承诺书.docx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