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版本号：CZCCXGH(2025)DYHD-120251104001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澄城县城镇开发边界外详细单元划定项目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CZCCXGH(2025)DYHD-1</w:t>
      </w:r>
      <w:r>
        <w:br/>
      </w:r>
      <w:r>
        <w:br/>
      </w:r>
      <w:r>
        <w:br/>
      </w:r>
    </w:p>
    <w:p>
      <w:pPr>
        <w:pStyle w:val="null3"/>
        <w:jc w:val="center"/>
        <w:outlineLvl w:val="2"/>
      </w:pPr>
      <w:r>
        <w:rPr>
          <w:rFonts w:ascii="仿宋_GB2312" w:hAnsi="仿宋_GB2312" w:cs="仿宋_GB2312" w:eastAsia="仿宋_GB2312"/>
          <w:sz w:val="28"/>
          <w:b/>
        </w:rPr>
        <w:t>澄城县城乡规划服务中心</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澄城县城乡规划服务中心</w:t>
      </w:r>
      <w:r>
        <w:rPr>
          <w:rFonts w:ascii="仿宋_GB2312" w:hAnsi="仿宋_GB2312" w:cs="仿宋_GB2312" w:eastAsia="仿宋_GB2312"/>
        </w:rPr>
        <w:t>委托，拟对</w:t>
      </w:r>
      <w:r>
        <w:rPr>
          <w:rFonts w:ascii="仿宋_GB2312" w:hAnsi="仿宋_GB2312" w:cs="仿宋_GB2312" w:eastAsia="仿宋_GB2312"/>
        </w:rPr>
        <w:t>澄城县城镇开发边界外详细单元划定项目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CZCCXGH(2025)DYHD-1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澄城县城镇开发边界外详细单元划定项目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详细规划编制单元划定指南（试行）》要求，结合澄城县“三区三线”划定成果、县级国土空间总体规划成果、镇级国土空间总体规划成果等数据及县域实际，综合考虑城镇、农业、生态空间的不同特征，因地制宜确定单元的适宜规模、类型以及主导功能。根据国家和省的有关要求，编制澄城县国土空间详细规划编制单元划定报告、图件、数据库成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采购包1（澄城县城镇开发边界外详细单元划定项目）：属于专门面向中小企业采购。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 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p>
      <w:pPr>
        <w:pStyle w:val="null3"/>
      </w:pPr>
      <w:r>
        <w:rPr>
          <w:rFonts w:ascii="仿宋_GB2312" w:hAnsi="仿宋_GB2312" w:cs="仿宋_GB2312" w:eastAsia="仿宋_GB2312"/>
        </w:rPr>
        <w:t>8、供应商资质：供应商须具备城乡规划乙级及以上资质或土地规划机构乙级及以上资质;</w:t>
      </w:r>
    </w:p>
    <w:p>
      <w:pPr>
        <w:pStyle w:val="null3"/>
      </w:pPr>
      <w:r>
        <w:rPr>
          <w:rFonts w:ascii="仿宋_GB2312" w:hAnsi="仿宋_GB2312" w:cs="仿宋_GB2312" w:eastAsia="仿宋_GB2312"/>
        </w:rPr>
        <w:t>9、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10、非联合体投标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澄城县城乡规划服务中心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澄城县长宁街八路口东北角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0913-6738818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澄城县城乡规划服务中心</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澄城县城乡规划服务中心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澄城县城乡规划服务中心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单元划定成果符合最新的国家和地方现行法律法规，配合各级相关部门审查和验收，最终纳入省、市、县级国土空间基础信息平台和国土空间规划“一张图”实施监督信息系统。</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澄城县城乡规划服务中心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澄城县城乡规划服务中心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澄城县城乡规划服务中心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联系电话：0913-6738818</w:t>
      </w:r>
    </w:p>
    <w:p>
      <w:pPr>
        <w:pStyle w:val="null3"/>
      </w:pPr>
      <w:r>
        <w:rPr>
          <w:rFonts w:ascii="仿宋_GB2312" w:hAnsi="仿宋_GB2312" w:cs="仿宋_GB2312" w:eastAsia="仿宋_GB2312"/>
        </w:rPr>
        <w:t>地址：澄城县城乡规划服务中心</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详细规划编制单元划定指南（试行）》要求，结合澄城县“三区三线”划定成果、县级国土空间总体规划成果、镇级国土空间总体规划成果等数据及县域实际，综合考虑城镇、农业、生态空间的不同特征，因地制宜确定单元的适宜规模、类型以及主导功能。根据国家和省的有关要求，编制澄城县国土空间详细规划编制单元划定报告、图件、数据库成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澄城县城镇开发边界外详细单元划定项目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标的名称：澄城县城镇开发边界外详细单元划定项目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rPr>
              <w:t>1、服务项目概况：在《中共中央国务院关于建立国土空间规划体系并监督实施的若干意见》（中发〔2019〕18号）中，提出要分级分类建立国土空间规划体系，健全规划实施传导机制，加强不同规划间的协调和传导。详细规划编制单元的划定工作是在国土空间总体规划与详细规划之间构建一个适合于城乡发展需要、具备可操作性和权威性的承上启下的技术衔接，实现总体规划和详细规划的传导和有效落实。</w:t>
            </w:r>
          </w:p>
          <w:p>
            <w:pPr>
              <w:pStyle w:val="null3"/>
            </w:pPr>
            <w:r>
              <w:rPr>
                <w:rFonts w:ascii="仿宋_GB2312" w:hAnsi="仿宋_GB2312" w:cs="仿宋_GB2312" w:eastAsia="仿宋_GB2312"/>
                <w:sz w:val="21"/>
              </w:rPr>
              <w:t>为贯彻《自然资源部关于加强国土空间详细规划工作的通知》（自然资发〔2023〕43 号）《陕西省自然资源厅关于加快推进国土空间详细规划工作的通知》（陕自然资规发〔2024〕1086号）文件精神，落实《澄城县国土空间总体规划（2021—2035年）》相关要求，依据《陕西省国土空间规划传导指引（试行）》《陕西省详细规划编制单元划定指南（试行）》《陕西省详细规划编制单元划定数据库标准（试行）》，结合澄城县县域实际情况，编制澄城县全域详细规划编制单元划定，指导后续详细规划单元层面的实施评估、详细规划编制、审批和规划管理等工作。</w:t>
            </w:r>
          </w:p>
          <w:p>
            <w:pPr>
              <w:pStyle w:val="null3"/>
            </w:pPr>
            <w:r>
              <w:rPr>
                <w:rFonts w:ascii="仿宋_GB2312" w:hAnsi="仿宋_GB2312" w:cs="仿宋_GB2312" w:eastAsia="仿宋_GB2312"/>
                <w:sz w:val="21"/>
              </w:rPr>
              <w:t>澄城县自然资源局组织编制全县域详细规划单元划定工作，对分解落实上位规划中的战略目标、底线管控、功能布局、空间结构、资源利用等方面要求，加强规划实施过程中统筹引导和系统协同的重要空间载体，是开展详细规划编制管理和实施监督的基础单元。</w:t>
            </w:r>
          </w:p>
          <w:p>
            <w:pPr>
              <w:pStyle w:val="null3"/>
            </w:pPr>
            <w:r>
              <w:rPr>
                <w:rFonts w:ascii="仿宋_GB2312" w:hAnsi="仿宋_GB2312" w:cs="仿宋_GB2312" w:eastAsia="仿宋_GB2312"/>
                <w:sz w:val="21"/>
              </w:rPr>
              <w:t>2、服务内容：</w:t>
            </w:r>
          </w:p>
          <w:p>
            <w:pPr>
              <w:pStyle w:val="null3"/>
            </w:pPr>
            <w:r>
              <w:rPr>
                <w:rFonts w:ascii="仿宋_GB2312" w:hAnsi="仿宋_GB2312" w:cs="仿宋_GB2312" w:eastAsia="仿宋_GB2312"/>
                <w:sz w:val="21"/>
              </w:rPr>
              <w:t>根据采购方提供的“三区三线”成果中“生态保护红线”数据、“永久基本农田核实整改”认定数据、“城镇开发边界优化调整”认定数据、经批准的各级各类开发区范围、国土空间总体规划成果数据库（按照部[2024]1301号文上报并通过省部审查）以及各乡镇域国土空间规划的最新规划成果等，按照最新国家、地方现行法律、法规，编制《澄城县全域详细规划编制单元划定》成果，完成省市要求的相关审查和备案工作，最终汇交入库。</w:t>
            </w:r>
          </w:p>
          <w:p>
            <w:pPr>
              <w:pStyle w:val="null3"/>
            </w:pPr>
            <w:r>
              <w:rPr>
                <w:rFonts w:ascii="仿宋_GB2312" w:hAnsi="仿宋_GB2312" w:cs="仿宋_GB2312" w:eastAsia="仿宋_GB2312"/>
                <w:sz w:val="21"/>
              </w:rPr>
              <w:t>汇交的矢量数据成果，采用2000国家大地坐标系（CGCS2000）、1985国家高程基准、高斯-克吕格三度带投影作为空间定位基础，以年度国土变更调查成果为基础，按照《国土空间调查、规划、用途管制用地用海分类指南》（自然资发﹝2023﹞234号）确定的用地用海分类标准；数据精度，数据库中空间数据存储容差为0.001（Tolerance）,分辨率为0.0001（Resolution）;计量单位，长度计量单位采用米（Meters），精度为0.1，面积计量单位采用平方米（Square Meters）或公顷（Square Kilometers），精度分别为0.01和0.0001；图形面积计算统一采用椭球面积。</w:t>
            </w:r>
          </w:p>
          <w:p>
            <w:pPr>
              <w:pStyle w:val="null3"/>
            </w:pPr>
            <w:r>
              <w:rPr>
                <w:rFonts w:ascii="仿宋_GB2312" w:hAnsi="仿宋_GB2312" w:cs="仿宋_GB2312" w:eastAsia="仿宋_GB2312"/>
                <w:sz w:val="21"/>
              </w:rPr>
              <w:t>3.本项目的费用组成表明细：</w:t>
            </w:r>
          </w:p>
          <w:p>
            <w:pPr>
              <w:pStyle w:val="null3"/>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214"/>
              <w:gridCol w:w="878"/>
              <w:gridCol w:w="799"/>
              <w:gridCol w:w="659"/>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分项内容</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工作内容</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划定要素筛选和分析</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结合部省文件和标准指南要求，筛选涉及县域和中心城区单元划定的各项影响要素进行权属、事权、边界、功能、用地等方面的综合分析</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确定划定方案</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结合要素综合分析成果，经过多方案对比，确定划定方案，实现全域覆盖，便于后续规划编制和管理</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指标传导与分解</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传导上位总体规划刚性和底线管控指标，结合县域和乡镇域规划成果，统筹分配人口、用水量及各类人均指标。在中心城区各单元内细化和分解空间品质类的六项指标</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初步质检与校核调整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在质检系统中进一步按照质检规则检测、调试和修改优化初步划定方案</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正式成果文件编制与评审</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划定报告、划定图件及数据库等正式成果的制作；按照</w:t>
                  </w:r>
                  <w:r>
                    <w:rPr>
                      <w:rFonts w:ascii="仿宋_GB2312" w:hAnsi="仿宋_GB2312" w:cs="仿宋_GB2312" w:eastAsia="仿宋_GB2312"/>
                      <w:sz w:val="24"/>
                      <w:color w:val="000000"/>
                    </w:rPr>
                    <w:t>部、省、市要求进行评审、审查工作，并最终修改完善，形成正式入库成果。</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rPr>
              <w:t>4、工作成果：</w:t>
            </w:r>
          </w:p>
          <w:p>
            <w:pPr>
              <w:pStyle w:val="null3"/>
            </w:pPr>
            <w:r>
              <w:rPr>
                <w:rFonts w:ascii="仿宋_GB2312" w:hAnsi="仿宋_GB2312" w:cs="仿宋_GB2312" w:eastAsia="仿宋_GB2312"/>
                <w:sz w:val="21"/>
              </w:rPr>
              <w:t>（1）对全域行政管理边界、地理空间要素、用地权属边界及其他管理边界要素进行分析，构建科学详实的工作底图。</w:t>
            </w:r>
          </w:p>
          <w:p>
            <w:pPr>
              <w:pStyle w:val="null3"/>
            </w:pPr>
            <w:r>
              <w:rPr>
                <w:rFonts w:ascii="仿宋_GB2312" w:hAnsi="仿宋_GB2312" w:cs="仿宋_GB2312" w:eastAsia="仿宋_GB2312"/>
                <w:sz w:val="21"/>
              </w:rPr>
              <w:t>（2）以构建全域全要素覆盖的规划“一张图”为目标，以城镇、农业、生态三类空间为基础，开展详规单元划定工作。</w:t>
            </w:r>
          </w:p>
          <w:p>
            <w:pPr>
              <w:pStyle w:val="null3"/>
            </w:pPr>
            <w:r>
              <w:rPr>
                <w:rFonts w:ascii="仿宋_GB2312" w:hAnsi="仿宋_GB2312" w:cs="仿宋_GB2312" w:eastAsia="仿宋_GB2312"/>
                <w:sz w:val="21"/>
              </w:rPr>
              <w:t>（3）按照《陕西省详细规划编制单元划定指南（试行）》要求，详规单元划定成果包括划定报告、划定图件和数据库等。按照《陕西省国土空间详细规划编制单元划定成果汇交要求与质检操作手册（讨论稿）》要求，成果数据包括：规划文档资料、规划栅格图件、矢量数据、规划表格、数据说明文档和成果报送清单。</w:t>
            </w:r>
          </w:p>
          <w:p>
            <w:pPr>
              <w:pStyle w:val="null3"/>
            </w:pPr>
            <w:r>
              <w:rPr>
                <w:rFonts w:ascii="仿宋_GB2312" w:hAnsi="仿宋_GB2312" w:cs="仿宋_GB2312" w:eastAsia="仿宋_GB2312"/>
              </w:rPr>
              <w:t>5、</w:t>
            </w:r>
            <w:r>
              <w:rPr>
                <w:rFonts w:ascii="仿宋_GB2312" w:hAnsi="仿宋_GB2312" w:cs="仿宋_GB2312" w:eastAsia="仿宋_GB2312"/>
                <w:sz w:val="21"/>
              </w:rPr>
              <w:t>需执行的国家相关标准、行业标准、地方标准或者其他标准、规范标准：</w:t>
            </w:r>
          </w:p>
          <w:p>
            <w:pPr>
              <w:pStyle w:val="null3"/>
            </w:pPr>
            <w:r>
              <w:rPr>
                <w:rFonts w:ascii="仿宋_GB2312" w:hAnsi="仿宋_GB2312" w:cs="仿宋_GB2312" w:eastAsia="仿宋_GB2312"/>
                <w:sz w:val="21"/>
              </w:rPr>
              <w:t>(1)《中华人民共和国土地管理法》《中华人民共和国城乡规划法》《中华人民共和国土地管理法实施条例》《陕西省城乡规划条例》等法律法规；</w:t>
            </w:r>
          </w:p>
          <w:p>
            <w:pPr>
              <w:pStyle w:val="null3"/>
            </w:pPr>
            <w:r>
              <w:rPr>
                <w:rFonts w:ascii="仿宋_GB2312" w:hAnsi="仿宋_GB2312" w:cs="仿宋_GB2312" w:eastAsia="仿宋_GB2312"/>
                <w:sz w:val="21"/>
              </w:rPr>
              <w:t>(2)《中共 中央国务院关于建立国土空间规划体系并监督实施的若干意见》（中发〔2019〕18号）</w:t>
            </w:r>
          </w:p>
          <w:p>
            <w:pPr>
              <w:pStyle w:val="null3"/>
            </w:pPr>
            <w:r>
              <w:rPr>
                <w:rFonts w:ascii="仿宋_GB2312" w:hAnsi="仿宋_GB2312" w:cs="仿宋_GB2312" w:eastAsia="仿宋_GB2312"/>
                <w:sz w:val="21"/>
              </w:rPr>
              <w:t>(3)《中共陕西省委陕西省人民政府关于加快建立并监督实施陕西省国土空间规划体系的实施意见》（陕发〔2020〕17号）</w:t>
            </w:r>
          </w:p>
          <w:p>
            <w:pPr>
              <w:pStyle w:val="null3"/>
            </w:pPr>
            <w:r>
              <w:rPr>
                <w:rFonts w:ascii="仿宋_GB2312" w:hAnsi="仿宋_GB2312" w:cs="仿宋_GB2312" w:eastAsia="仿宋_GB2312"/>
                <w:sz w:val="21"/>
              </w:rPr>
              <w:t>(4)《自然资源部关于印发&lt;国土空间调查、规划、用途管制用地用海分类指南&gt;的通知》（自然资发〔2023〕234号）</w:t>
            </w:r>
          </w:p>
          <w:p>
            <w:pPr>
              <w:pStyle w:val="null3"/>
            </w:pPr>
            <w:r>
              <w:rPr>
                <w:rFonts w:ascii="仿宋_GB2312" w:hAnsi="仿宋_GB2312" w:cs="仿宋_GB2312" w:eastAsia="仿宋_GB2312"/>
                <w:sz w:val="21"/>
              </w:rPr>
              <w:t>(5)《自然资源部关于加强国土空间详细规划工作的通知》（自然资发〔2023〕43号）</w:t>
            </w:r>
          </w:p>
          <w:p>
            <w:pPr>
              <w:pStyle w:val="null3"/>
            </w:pPr>
            <w:r>
              <w:rPr>
                <w:rFonts w:ascii="仿宋_GB2312" w:hAnsi="仿宋_GB2312" w:cs="仿宋_GB2312" w:eastAsia="仿宋_GB2312"/>
                <w:sz w:val="21"/>
              </w:rPr>
              <w:t>(6)《陕西省自然资源厅关于加快推进国土空间详细规划工作的通知》（陕自然资规发〔2024〕1086号）</w:t>
            </w:r>
          </w:p>
          <w:p>
            <w:pPr>
              <w:pStyle w:val="null3"/>
            </w:pPr>
            <w:r>
              <w:rPr>
                <w:rFonts w:ascii="仿宋_GB2312" w:hAnsi="仿宋_GB2312" w:cs="仿宋_GB2312" w:eastAsia="仿宋_GB2312"/>
                <w:sz w:val="21"/>
              </w:rPr>
              <w:t>(7)《陕西省自然资源厅关于加强国土空间规划实施监督管理工作的通知》（陕自然资发〔2023〕55号）</w:t>
            </w:r>
          </w:p>
          <w:p>
            <w:pPr>
              <w:pStyle w:val="null3"/>
            </w:pPr>
            <w:r>
              <w:rPr>
                <w:rFonts w:ascii="仿宋_GB2312" w:hAnsi="仿宋_GB2312" w:cs="仿宋_GB2312" w:eastAsia="仿宋_GB2312"/>
                <w:sz w:val="21"/>
              </w:rPr>
              <w:t>(8)《社区生活圈规划技术指南》（TD/T1062-2021）</w:t>
            </w:r>
          </w:p>
          <w:p>
            <w:pPr>
              <w:pStyle w:val="null3"/>
            </w:pPr>
            <w:r>
              <w:rPr>
                <w:rFonts w:ascii="仿宋_GB2312" w:hAnsi="仿宋_GB2312" w:cs="仿宋_GB2312" w:eastAsia="仿宋_GB2312"/>
                <w:sz w:val="21"/>
              </w:rPr>
              <w:t>(9)《陕西省详细规划编制单元划定指南（试行）》</w:t>
            </w:r>
          </w:p>
          <w:p>
            <w:pPr>
              <w:pStyle w:val="null3"/>
            </w:pPr>
            <w:r>
              <w:rPr>
                <w:rFonts w:ascii="仿宋_GB2312" w:hAnsi="仿宋_GB2312" w:cs="仿宋_GB2312" w:eastAsia="仿宋_GB2312"/>
                <w:sz w:val="21"/>
              </w:rPr>
              <w:t>(10)《陕西省详细规划编制单元划定数据库标准（试行）》</w:t>
            </w:r>
          </w:p>
          <w:p>
            <w:pPr>
              <w:pStyle w:val="null3"/>
            </w:pPr>
            <w:r>
              <w:rPr>
                <w:rFonts w:ascii="仿宋_GB2312" w:hAnsi="仿宋_GB2312" w:cs="仿宋_GB2312" w:eastAsia="仿宋_GB2312"/>
                <w:sz w:val="21"/>
              </w:rPr>
              <w:t>(11)《陕西省国土空间规划传导指引（试行）》</w:t>
            </w:r>
          </w:p>
          <w:p>
            <w:pPr>
              <w:pStyle w:val="null3"/>
            </w:pPr>
            <w:r>
              <w:rPr>
                <w:rFonts w:ascii="仿宋_GB2312" w:hAnsi="仿宋_GB2312" w:cs="仿宋_GB2312" w:eastAsia="仿宋_GB2312"/>
                <w:sz w:val="21"/>
              </w:rPr>
              <w:t>(12)《陕西省国土空间详细规划编制单元划定成果汇交要求与质检操作手册（讨论稿）》</w:t>
            </w:r>
          </w:p>
          <w:p>
            <w:pPr>
              <w:pStyle w:val="null3"/>
            </w:pPr>
            <w:r>
              <w:rPr>
                <w:rFonts w:ascii="仿宋_GB2312" w:hAnsi="仿宋_GB2312" w:cs="仿宋_GB2312" w:eastAsia="仿宋_GB2312"/>
                <w:sz w:val="21"/>
              </w:rPr>
              <w:t>(13)《澄城县国土空间总体规划（2021—2035年）》</w:t>
            </w:r>
          </w:p>
          <w:p>
            <w:pPr>
              <w:pStyle w:val="null3"/>
            </w:pPr>
            <w:r>
              <w:rPr>
                <w:rFonts w:ascii="仿宋_GB2312" w:hAnsi="仿宋_GB2312" w:cs="仿宋_GB2312" w:eastAsia="仿宋_GB2312"/>
                <w:sz w:val="21"/>
              </w:rPr>
              <w:t>(14)其他与详细规划编制单元划定相关的法律法规、政策文件、技术标准等</w:t>
            </w:r>
          </w:p>
          <w:p>
            <w:pPr>
              <w:pStyle w:val="null3"/>
            </w:pPr>
            <w:r>
              <w:rPr>
                <w:rFonts w:ascii="仿宋_GB2312" w:hAnsi="仿宋_GB2312" w:cs="仿宋_GB2312" w:eastAsia="仿宋_GB2312"/>
                <w:sz w:val="21"/>
              </w:rPr>
              <w:t>6、服务期限：自合同签订之日起六个月</w:t>
            </w:r>
          </w:p>
          <w:p>
            <w:pPr>
              <w:pStyle w:val="null3"/>
            </w:pPr>
            <w:r>
              <w:rPr>
                <w:rFonts w:ascii="仿宋_GB2312" w:hAnsi="仿宋_GB2312" w:cs="仿宋_GB2312" w:eastAsia="仿宋_GB2312"/>
                <w:sz w:val="21"/>
              </w:rPr>
              <w:t>7、服务地点：渭南市澄城县</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渭南市澄城县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单元划定成果符合最新的国家和地方现行法律法规，配合各级相关部门审查和验收，最终纳入省、市、县级国土空间基础信息平台和国土空间规划“一张图”实施监督信息系统。</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完成初步成果并提交后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成果通过各级相关部门审查和验收，并提交最终成果后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确认方不对任何一方的违约行为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1、本项目属性为服务 。 2、成交供应商在开标结束后3个工作日内向采购代理机构提供纸质版投标（或响应）文件正本1份（内容包括:签字盖章扫描后的PDF版本投标（或响应）文件）。装订：纸质版文件采用书籍（胶装）方式装订成册，与电子投标（或响应）一致的签字、盖章的完整版本。3.付款方式：预付款为合同价款的30%，完成初步成果并提交后7个工作日内付款30%，成果通过各级相关部门审查和验收，并提交最终成果后7 个工作日内付款40%。 4、本项目所属行业为：其他未列明行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供应商须具备城乡规划乙级及以上资质或土地规划机构乙级及以上资质;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服务内容及服务邀请应答表 服务方案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供应商对规划编制内容及服务要求的认识程度、对规划政策、形势、任务的理解等工作的实施方案，按合理性、可操作性、全面性等，根据响应程度计分。 内容完全符合项目要求，合理可行，描述清楚，严谨且针对性强，能够完全满足采购需求计(13-20]分； 内容基本符合项目要求，具备一定的合理性，描述相对清楚，较为严谨，基本满足采购需求计(6-13]分； 内容部分符合项目要求，逻辑性差，思路不清晰，部分满足采购需求计[1-6]分；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针对本项目的理解</w:t>
            </w:r>
          </w:p>
        </w:tc>
        <w:tc>
          <w:tcPr>
            <w:tcW w:type="dxa" w:w="2492"/>
          </w:tcPr>
          <w:p>
            <w:pPr>
              <w:pStyle w:val="null3"/>
            </w:pPr>
            <w:r>
              <w:rPr>
                <w:rFonts w:ascii="仿宋_GB2312" w:hAnsi="仿宋_GB2312" w:cs="仿宋_GB2312" w:eastAsia="仿宋_GB2312"/>
              </w:rPr>
              <w:t>供应商对该项目的服务内容进行完整、合理地阐述，有总体的服务方案，按方案完整性、全面性、认知深度和专业性进行评审。 供应商对项目的理解准确深刻，解读层次清晰且全面系统计(10-15]分； 供应商对项目的理解比较准确，对工作任务的解读较为全面系统计 (5-10]分； 供应商对项目的理解有所欠缺，对工作任务的解读不够全面计 [1-5]分；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 供应商提出的进度安排详细、科学合理、具体可行计(8-11]分； 供应商提出的进度安排粗略、有可行性计(5-8]分； 供应商提出的进度安排、可行性较差计[1-5]分； 未提供的不计分。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根据各供应商提供的各项保障、质量保证措施，包括本次服务管理人员与采购人工作配合的保障措施，根据供应商提出的保证措施进行评审。 供应商提出的质量措施完善、合理切实可行，针对性强计(8-11]分； 供应商提出的质量措施基本合理可行，针对性一般计(5-8]分； 供应商提出的质量措施一般，欠合理，针对性一般计[1-5]分； 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针对本项目的人员配备</w:t>
            </w:r>
          </w:p>
        </w:tc>
        <w:tc>
          <w:tcPr>
            <w:tcW w:type="dxa" w:w="2492"/>
          </w:tcPr>
          <w:p>
            <w:pPr>
              <w:pStyle w:val="null3"/>
            </w:pPr>
            <w:r>
              <w:rPr>
                <w:rFonts w:ascii="仿宋_GB2312" w:hAnsi="仿宋_GB2312" w:cs="仿宋_GB2312" w:eastAsia="仿宋_GB2312"/>
              </w:rPr>
              <w:t>具有满足本项目编制的专业团队，提供拟派本项目团队人员的详细名单及团队人员在本项目中负责的具体工作职责，根据人员配备数量、工作经验、职责划分合理性等方面，根据响应程度计分。 为本项目配备的人员全面、合理，工作经验丰富、专业性强得(6-9]分； 为本项目配备的人员较全面、较合理，工作经验一般、专业性一般得(3-6]分； 为本项目配备的人员不全面、不合理，工作经验较少、专业性较差得[1-3]分；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为本项目制定完整可行的安全保密措施，具备完善的内部保密制度、保密措施，保密措施可行，对每个阶段工作的内容及服务保密。 为本项目提出的保密制度完善，措施合理可行，把控严格计(6-9]分； 为本项目提出的保密制度较完整，措施可行性一般计(3-6]分； 为本项目提出的保密制度和措施较差计[1-3]分； 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售后服务实施方案，要求服务机构健全，提供服务标准公约，配备专职售后服务人员，项目组人员提供的各项服务承诺情况，根据响应程度计分。 服务承诺切实可行，保证措施完善合理，针对性强计(4-6]分； 服务承诺基本可行，保证措施较为完善，针对性一般计(2-4]分； 服务承诺部分可行，针对性差计[1-2]分；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分项报价表(服务).docx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