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版本号：CZCST(2025)HD-120251216001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澄城县禁止开垦陡坡地范围划定工作技术服务项目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CZCST(2025)HD-1</w:t>
      </w:r>
      <w:r>
        <w:br/>
      </w:r>
      <w:r>
        <w:br/>
      </w:r>
      <w:r>
        <w:br/>
      </w:r>
    </w:p>
    <w:p>
      <w:pPr>
        <w:pStyle w:val="null3"/>
        <w:jc w:val="center"/>
        <w:outlineLvl w:val="2"/>
      </w:pPr>
      <w:r>
        <w:rPr>
          <w:rFonts w:ascii="仿宋_GB2312" w:hAnsi="仿宋_GB2312" w:cs="仿宋_GB2312" w:eastAsia="仿宋_GB2312"/>
          <w:sz w:val="28"/>
          <w:b/>
        </w:rPr>
        <w:t>澄城县水土保持工作站</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澄城县水土保持工作站</w:t>
      </w:r>
      <w:r>
        <w:rPr>
          <w:rFonts w:ascii="仿宋_GB2312" w:hAnsi="仿宋_GB2312" w:cs="仿宋_GB2312" w:eastAsia="仿宋_GB2312"/>
        </w:rPr>
        <w:t>委托，拟对</w:t>
      </w:r>
      <w:r>
        <w:rPr>
          <w:rFonts w:ascii="仿宋_GB2312" w:hAnsi="仿宋_GB2312" w:cs="仿宋_GB2312" w:eastAsia="仿宋_GB2312"/>
        </w:rPr>
        <w:t>澄城县禁止开垦陡坡地范围划定工作技术服务项目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CZCST(2025)HD-1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澄城县禁止开垦陡坡地范围划定工作技术服务项目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贯彻落实中办、国办《关于加强新时代水土保持工作的意见》和水利部贯彻落实《关于加强新时代水土保持工作的意见》实施方案及中省相关要求，根据渭南市水务局《关于进一步做好禁止开垦陡坡地范围划定的通知》（渭水字〔2025〕90号）部署，澄城县水土保持工作站积极响应国家政策和指导性文件精神，组织开展澄城县禁止开垦陡坡地范围划定工作。划定陡坡地范围对预防和治理水土流失、保护生态环境、促进经济社会可持续发展具有关键作用。通过精准划定陡坡地范围，能够有效落实水土保持措施，减少因不合理开发造成的水土流失，保护土地资源和生态系统功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p>
      <w:pPr>
        <w:pStyle w:val="null3"/>
      </w:pPr>
      <w:r>
        <w:rPr>
          <w:rFonts w:ascii="仿宋_GB2312" w:hAnsi="仿宋_GB2312" w:cs="仿宋_GB2312" w:eastAsia="仿宋_GB2312"/>
        </w:rPr>
        <w:t>2、项目负责人：拟派本项目项目负责人须具有水土保持或相关专业高级及以上职称；</w:t>
      </w:r>
    </w:p>
    <w:p>
      <w:pPr>
        <w:pStyle w:val="null3"/>
      </w:pPr>
      <w:r>
        <w:rPr>
          <w:rFonts w:ascii="仿宋_GB2312" w:hAnsi="仿宋_GB2312" w:cs="仿宋_GB2312" w:eastAsia="仿宋_GB2312"/>
        </w:rPr>
        <w:t>3、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4、非联合体声明：本项目不接受联合体投标。（提供非联合体声明, 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澄城县水土保持工作站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陕西省渭南市澄城县宝塔路东段水务局四楼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15929886231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澄城县水土保持工作站</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澄城县水土保持工作站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澄城县水土保持工作站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澄城县水土保持工作站</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澄城县水土保持工作站</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澄城县水土保持工作站</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联系人：田女士</w:t>
      </w:r>
    </w:p>
    <w:p>
      <w:pPr>
        <w:pStyle w:val="null3"/>
      </w:pPr>
      <w:r>
        <w:rPr>
          <w:rFonts w:ascii="仿宋_GB2312" w:hAnsi="仿宋_GB2312" w:cs="仿宋_GB2312" w:eastAsia="仿宋_GB2312"/>
        </w:rPr>
        <w:t>联系电话：15929886231</w:t>
      </w:r>
    </w:p>
    <w:p>
      <w:pPr>
        <w:pStyle w:val="null3"/>
      </w:pPr>
      <w:r>
        <w:rPr>
          <w:rFonts w:ascii="仿宋_GB2312" w:hAnsi="仿宋_GB2312" w:cs="仿宋_GB2312" w:eastAsia="仿宋_GB2312"/>
        </w:rPr>
        <w:t>地址：陕西省渭南市澄城县宝塔路东段水务局四楼</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贯彻落实中办、国办《关于加强新时代水土保持工作的意见》和水利部贯彻落实《关于加强新时代水土保持工作的意见》实施方案及中省相关要求，根据渭南市水务局《关于进一步做好禁止开垦陡坡地范围划定的通知》（渭水字〔2025〕90号）部署，澄城县水土保持工作站积极响应国家政策和指导性文件精神，组织开展澄城县禁止开垦陡坡地范围划定工作。划定陡坡地范围对预防和治理水土流失、保护生态环境、促进经济社会可持续发展具有关键作用。通过精准划定陡坡地范围，能够有效落实水土保持措施，减少因不合理开发造成的水土流失，保护土地资源和生态系统功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澄城县禁止开垦陡坡地范围划定工作技术服务项目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标的名称：澄城县禁止开垦陡坡地范围划定工作技术服务项目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sz w:val="32"/>
                <w:b/>
              </w:rPr>
              <w:t>1、功能要求：</w:t>
            </w:r>
            <w:r>
              <w:rPr>
                <w:rFonts w:ascii="仿宋_GB2312" w:hAnsi="仿宋_GB2312" w:cs="仿宋_GB2312" w:eastAsia="仿宋_GB2312"/>
                <w:sz w:val="32"/>
              </w:rPr>
              <w:t>完成澄城县禁止开垦陡坡地范围划定工作，建立相关数据库和图件。</w:t>
            </w:r>
          </w:p>
          <w:p>
            <w:pPr>
              <w:pStyle w:val="null3"/>
              <w:ind w:firstLine="643"/>
              <w:jc w:val="both"/>
            </w:pPr>
            <w:r>
              <w:rPr>
                <w:rFonts w:ascii="仿宋_GB2312" w:hAnsi="仿宋_GB2312" w:cs="仿宋_GB2312" w:eastAsia="仿宋_GB2312"/>
                <w:sz w:val="32"/>
                <w:b/>
              </w:rPr>
              <w:t>2、需执行的国家相关标准、行业标准、地方标准或者其他标准、规范标准:</w:t>
            </w:r>
          </w:p>
          <w:p>
            <w:pPr>
              <w:pStyle w:val="null3"/>
              <w:ind w:firstLine="640"/>
              <w:jc w:val="both"/>
            </w:pPr>
            <w:r>
              <w:rPr>
                <w:rFonts w:ascii="仿宋_GB2312" w:hAnsi="仿宋_GB2312" w:cs="仿宋_GB2312" w:eastAsia="仿宋_GB2312"/>
                <w:sz w:val="32"/>
              </w:rPr>
              <w:t>(1)《中华人民共和国水土保持法》(2011年施行):第二十条明确二十五度以上陡坡地禁止开垦种植农作物，县级人民政府负责划定并公告禁垦范围，为项目提供核心法律依据。</w:t>
            </w:r>
          </w:p>
          <w:p>
            <w:pPr>
              <w:pStyle w:val="null3"/>
              <w:ind w:firstLine="640"/>
              <w:jc w:val="both"/>
            </w:pPr>
            <w:r>
              <w:rPr>
                <w:rFonts w:ascii="仿宋_GB2312" w:hAnsi="仿宋_GB2312" w:cs="仿宋_GB2312" w:eastAsia="仿宋_GB2312"/>
                <w:sz w:val="32"/>
              </w:rPr>
              <w:t>(2)《陕西省水土保持条例》(2024年修订施行):第十六条明确本省禁垦坡度标准(二十五度以上全面禁垦，人均耕地五亩或基本农田二亩以上地区二十度以上禁垦)，第十八条规定陡坡地经济林种植的水土保持措施要求，是区域划定核心依据。</w:t>
            </w:r>
          </w:p>
          <w:p>
            <w:pPr>
              <w:pStyle w:val="null3"/>
              <w:ind w:firstLine="640"/>
              <w:jc w:val="both"/>
            </w:pPr>
            <w:r>
              <w:rPr>
                <w:rFonts w:ascii="仿宋_GB2312" w:hAnsi="仿宋_GB2312" w:cs="仿宋_GB2312" w:eastAsia="仿宋_GB2312"/>
                <w:sz w:val="32"/>
              </w:rPr>
              <w:t>(3)土地利用现状分类》(GB/T 21010-2017):统一土地利用类型分类标准，用于明确禁垦区域土地利用属性界定，</w:t>
            </w:r>
          </w:p>
          <w:p>
            <w:pPr>
              <w:pStyle w:val="null3"/>
              <w:ind w:firstLine="640"/>
              <w:jc w:val="both"/>
            </w:pPr>
            <w:r>
              <w:rPr>
                <w:rFonts w:ascii="仿宋_GB2312" w:hAnsi="仿宋_GB2312" w:cs="仿宋_GB2312" w:eastAsia="仿宋_GB2312"/>
                <w:sz w:val="32"/>
              </w:rPr>
              <w:t>(4)《2000 国家大地坐标系》(CGCS2000):规定所有空间数据坐标系统标准，确保划定成果与国家地理信息数据一致。</w:t>
            </w:r>
          </w:p>
          <w:p>
            <w:pPr>
              <w:pStyle w:val="null3"/>
              <w:ind w:firstLine="640"/>
              <w:jc w:val="both"/>
            </w:pPr>
            <w:r>
              <w:rPr>
                <w:rFonts w:ascii="仿宋_GB2312" w:hAnsi="仿宋_GB2312" w:cs="仿宋_GB2312" w:eastAsia="仿宋_GB2312"/>
                <w:sz w:val="32"/>
              </w:rPr>
              <w:t>(5)《遥感影像图制作技术规定》(GB/T 15968-2008):规范高分辨率遥感影像解译、处理及图斑绘制技术要求，保障遥感数据应用合规性。</w:t>
            </w:r>
          </w:p>
          <w:p>
            <w:pPr>
              <w:pStyle w:val="null3"/>
              <w:ind w:firstLine="640"/>
              <w:jc w:val="both"/>
            </w:pPr>
            <w:r>
              <w:rPr>
                <w:rFonts w:ascii="仿宋_GB2312" w:hAnsi="仿宋_GB2312" w:cs="仿宋_GB2312" w:eastAsia="仿宋_GB2312"/>
                <w:sz w:val="32"/>
              </w:rPr>
              <w:t>(6)《土壤侵蚀分类分级标准》(SL190-2007):规定水土流失强度分级指标(侵蚀模数、植被覆盖度等)，用于禁垦区域水土流失状况判定</w:t>
            </w:r>
          </w:p>
          <w:p>
            <w:pPr>
              <w:pStyle w:val="null3"/>
              <w:ind w:firstLine="640"/>
              <w:jc w:val="both"/>
            </w:pPr>
            <w:r>
              <w:rPr>
                <w:rFonts w:ascii="仿宋_GB2312" w:hAnsi="仿宋_GB2312" w:cs="仿宋_GB2312" w:eastAsia="仿宋_GB2312"/>
                <w:sz w:val="32"/>
              </w:rPr>
              <w:t>(7)《水土保持监测技术规程》(SL277-2002):规范水土流失现状调查、数据采集与分析方法3.为基础资料整合提供技术依据。</w:t>
            </w:r>
          </w:p>
          <w:p>
            <w:pPr>
              <w:pStyle w:val="null3"/>
              <w:ind w:firstLine="640"/>
              <w:jc w:val="both"/>
            </w:pPr>
            <w:r>
              <w:rPr>
                <w:rFonts w:ascii="仿宋_GB2312" w:hAnsi="仿宋_GB2312" w:cs="仿宋_GB2312" w:eastAsia="仿宋_GB2312"/>
                <w:sz w:val="32"/>
              </w:rPr>
              <w:t>(8)《地理空间数据交换格式》(GB/T 17798-2007):统一矢量数据(SHP格式)、栅格数据等《成果的存储与交换标准。</w:t>
            </w:r>
          </w:p>
          <w:p>
            <w:pPr>
              <w:pStyle w:val="null3"/>
              <w:ind w:firstLine="640"/>
              <w:jc w:val="both"/>
            </w:pPr>
            <w:r>
              <w:rPr>
                <w:rFonts w:ascii="仿宋_GB2312" w:hAnsi="仿宋_GB2312" w:cs="仿宋_GB2312" w:eastAsia="仿宋_GB2312"/>
                <w:sz w:val="32"/>
              </w:rPr>
              <w:t>(9)《陕西省秦岭生态环境保护条例》:针对秦岭区域明确二十五度以上陡坡地禁止开垦种植农作物，若澄城县涉及秦岭生态保护区，需严格遵循该条例特殊管控要求。</w:t>
            </w:r>
          </w:p>
          <w:p>
            <w:pPr>
              <w:pStyle w:val="null3"/>
              <w:ind w:firstLine="640"/>
              <w:jc w:val="both"/>
            </w:pPr>
            <w:r>
              <w:rPr>
                <w:rFonts w:ascii="仿宋_GB2312" w:hAnsi="仿宋_GB2312" w:cs="仿宋_GB2312" w:eastAsia="仿宋_GB2312"/>
                <w:sz w:val="32"/>
              </w:rPr>
              <w:t>(10)《陕西省国土空间规划相关技术规范》:衔接“三区三线”管控要求，确保禁垦范围与省级国土空间规划一致。</w:t>
            </w:r>
          </w:p>
          <w:p>
            <w:pPr>
              <w:pStyle w:val="null3"/>
              <w:ind w:firstLine="643"/>
              <w:jc w:val="both"/>
            </w:pPr>
            <w:r>
              <w:rPr>
                <w:rFonts w:ascii="仿宋_GB2312" w:hAnsi="仿宋_GB2312" w:cs="仿宋_GB2312" w:eastAsia="仿宋_GB2312"/>
                <w:sz w:val="32"/>
                <w:b/>
              </w:rPr>
              <w:t>3、服务内容：</w:t>
            </w:r>
            <w:r>
              <w:rPr>
                <w:rFonts w:ascii="仿宋_GB2312" w:hAnsi="仿宋_GB2312" w:cs="仿宋_GB2312" w:eastAsia="仿宋_GB2312"/>
                <w:sz w:val="32"/>
              </w:rPr>
              <w:t>精准划定项目区域内禁止开垦陡坡地的范围，确保划定结果符合法律法规要求与实际地形地貌边界清晰、数据准确。形成完整、规范的划定成果体系，包括矢量数据、图件、报告等，为水利、自然资源、农业农村等部门开展监管、执法及生态修复工作提供支撑。建立划定范围的动态管理机制，协助项目方应对后续可能出现的范围调整、数据更新等需求，保障划定工作的长效性与实用性。</w:t>
            </w:r>
          </w:p>
          <w:p>
            <w:pPr>
              <w:pStyle w:val="null3"/>
              <w:ind w:firstLine="643"/>
              <w:jc w:val="both"/>
            </w:pPr>
            <w:r>
              <w:rPr>
                <w:rFonts w:ascii="仿宋_GB2312" w:hAnsi="仿宋_GB2312" w:cs="仿宋_GB2312" w:eastAsia="仿宋_GB2312"/>
                <w:sz w:val="32"/>
                <w:b/>
              </w:rPr>
              <w:t>4、服务期限：</w:t>
            </w:r>
            <w:r>
              <w:rPr>
                <w:rFonts w:ascii="仿宋_GB2312" w:hAnsi="仿宋_GB2312" w:cs="仿宋_GB2312" w:eastAsia="仿宋_GB2312"/>
                <w:sz w:val="32"/>
              </w:rPr>
              <w:t>自合同签订之日起</w:t>
            </w:r>
            <w:r>
              <w:rPr>
                <w:rFonts w:ascii="仿宋_GB2312" w:hAnsi="仿宋_GB2312" w:cs="仿宋_GB2312" w:eastAsia="仿宋_GB2312"/>
                <w:sz w:val="32"/>
              </w:rPr>
              <w:t>150日历日。</w:t>
            </w:r>
            <w:r>
              <w:rPr>
                <w:rFonts w:ascii="仿宋_GB2312" w:hAnsi="仿宋_GB2312" w:cs="仿宋_GB2312" w:eastAsia="仿宋_GB2312"/>
                <w:sz w:val="21"/>
              </w:rPr>
              <w:t xml:space="preserve"> </w:t>
            </w:r>
          </w:p>
          <w:p>
            <w:pPr>
              <w:pStyle w:val="null3"/>
              <w:ind w:firstLine="643"/>
              <w:jc w:val="both"/>
            </w:pPr>
            <w:r>
              <w:rPr>
                <w:rFonts w:ascii="仿宋_GB2312" w:hAnsi="仿宋_GB2312" w:cs="仿宋_GB2312" w:eastAsia="仿宋_GB2312"/>
                <w:sz w:val="32"/>
                <w:b/>
              </w:rPr>
              <w:t>5、服务地点：</w:t>
            </w:r>
            <w:r>
              <w:rPr>
                <w:rFonts w:ascii="仿宋_GB2312" w:hAnsi="仿宋_GB2312" w:cs="仿宋_GB2312" w:eastAsia="仿宋_GB2312"/>
                <w:sz w:val="32"/>
              </w:rPr>
              <w:t>渭南市澄城县</w:t>
            </w:r>
            <w:r>
              <w:rPr>
                <w:rFonts w:ascii="仿宋_GB2312" w:hAnsi="仿宋_GB2312" w:cs="仿宋_GB2312" w:eastAsia="仿宋_GB2312"/>
                <w:sz w:val="32"/>
              </w:rPr>
              <w:t>。</w:t>
            </w:r>
            <w:r>
              <w:rPr>
                <w:rFonts w:ascii="仿宋_GB2312" w:hAnsi="仿宋_GB2312" w:cs="仿宋_GB2312" w:eastAsia="仿宋_GB2312"/>
                <w:sz w:val="21"/>
              </w:rPr>
              <w:t xml:space="preserve"> </w:t>
            </w:r>
          </w:p>
          <w:p>
            <w:pPr>
              <w:pStyle w:val="null3"/>
              <w:ind w:firstLine="643"/>
              <w:jc w:val="both"/>
            </w:pPr>
            <w:r>
              <w:rPr>
                <w:rFonts w:ascii="仿宋_GB2312" w:hAnsi="仿宋_GB2312" w:cs="仿宋_GB2312" w:eastAsia="仿宋_GB2312"/>
                <w:sz w:val="32"/>
                <w:b/>
              </w:rPr>
              <w:t>6、项目具体工作：</w:t>
            </w:r>
          </w:p>
          <w:tbl>
            <w:tblPr>
              <w:tblBorders>
                <w:top w:val="none" w:color="000000" w:sz="4"/>
                <w:left w:val="none" w:color="000000" w:sz="4"/>
                <w:bottom w:val="none" w:color="000000" w:sz="4"/>
                <w:right w:val="none" w:color="000000" w:sz="4"/>
                <w:insideH w:val="none"/>
                <w:insideV w:val="none"/>
              </w:tblBorders>
            </w:tblPr>
            <w:tblGrid>
              <w:gridCol w:w="1221"/>
              <w:gridCol w:w="1332"/>
            </w:tblGrid>
            <w:tr>
              <w:tc>
                <w:tcPr>
                  <w:tcW w:type="dxa" w:w="1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项目</w:t>
                  </w:r>
                </w:p>
              </w:tc>
              <w:tc>
                <w:tcPr>
                  <w:tcW w:type="dxa" w:w="13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工作量</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一、资料收集</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收集相关资料</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二、野外调查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1:10000地质测量</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color w:val="000000"/>
                    </w:rPr>
                    <w:t>km</w:t>
                  </w:r>
                  <w:r>
                    <w:rPr>
                      <w:rFonts w:ascii="仿宋_GB2312" w:hAnsi="仿宋_GB2312" w:cs="仿宋_GB2312" w:eastAsia="仿宋_GB2312"/>
                      <w:sz w:val="20"/>
                      <w:color w:val="000000"/>
                      <w:vertAlign w:val="superscript"/>
                    </w:rPr>
                    <w:t>2</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1:10000水文地质调查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color w:val="000000"/>
                    </w:rPr>
                    <w:t>km</w:t>
                  </w:r>
                  <w:r>
                    <w:rPr>
                      <w:rFonts w:ascii="仿宋_GB2312" w:hAnsi="仿宋_GB2312" w:cs="仿宋_GB2312" w:eastAsia="仿宋_GB2312"/>
                      <w:sz w:val="20"/>
                      <w:color w:val="000000"/>
                      <w:vertAlign w:val="superscript"/>
                    </w:rPr>
                    <w:t>2</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1:10000环境地质调查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0"/>
                      <w:color w:val="000000"/>
                    </w:rPr>
                    <w:t>km</w:t>
                  </w:r>
                  <w:r>
                    <w:rPr>
                      <w:rFonts w:ascii="仿宋_GB2312" w:hAnsi="仿宋_GB2312" w:cs="仿宋_GB2312" w:eastAsia="仿宋_GB2312"/>
                      <w:sz w:val="20"/>
                      <w:color w:val="000000"/>
                      <w:vertAlign w:val="superscript"/>
                    </w:rPr>
                    <w:t>2</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三、地形图制作</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1:10000地形图数字化</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 xml:space="preserve">   </w:t>
                  </w:r>
                  <w:r>
                    <w:rPr>
                      <w:rFonts w:ascii="仿宋_GB2312" w:hAnsi="仿宋_GB2312" w:cs="仿宋_GB2312" w:eastAsia="仿宋_GB2312"/>
                      <w:sz w:val="24"/>
                    </w:rPr>
                    <w:t>副</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项目范围勘界</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点</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四、其他工作</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成果报告编制</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报告印刷</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r>
              <w:tc>
                <w:tcPr>
                  <w:tcW w:type="dxa" w:w="1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报告审查</w:t>
                  </w:r>
                </w:p>
              </w:tc>
              <w:tc>
                <w:tcPr>
                  <w:tcW w:type="dxa" w:w="13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份</w:t>
                  </w:r>
                </w:p>
              </w:tc>
            </w:tr>
          </w:tbl>
          <w:p>
            <w:pPr>
              <w:pStyle w:val="null3"/>
              <w:ind w:firstLine="643"/>
              <w:jc w:val="both"/>
            </w:pPr>
            <w:r>
              <w:rPr>
                <w:rFonts w:ascii="仿宋_GB2312" w:hAnsi="仿宋_GB2312" w:cs="仿宋_GB2312" w:eastAsia="仿宋_GB2312"/>
                <w:sz w:val="32"/>
                <w:b/>
              </w:rPr>
              <w:t>7、验收标准</w:t>
            </w:r>
          </w:p>
          <w:p>
            <w:pPr>
              <w:pStyle w:val="null3"/>
              <w:ind w:firstLine="640"/>
              <w:jc w:val="both"/>
            </w:pPr>
            <w:r>
              <w:rPr>
                <w:rFonts w:ascii="仿宋_GB2312" w:hAnsi="仿宋_GB2312" w:cs="仿宋_GB2312" w:eastAsia="仿宋_GB2312"/>
                <w:sz w:val="32"/>
              </w:rPr>
              <w:t>质量标准：满足相关行业规范及采购人需求。</w:t>
            </w:r>
          </w:p>
          <w:p>
            <w:pPr>
              <w:pStyle w:val="null3"/>
              <w:ind w:firstLine="640"/>
              <w:jc w:val="both"/>
            </w:pPr>
            <w:r>
              <w:rPr>
                <w:rFonts w:ascii="仿宋_GB2312" w:hAnsi="仿宋_GB2312" w:cs="仿宋_GB2312" w:eastAsia="仿宋_GB2312"/>
                <w:sz w:val="32"/>
              </w:rPr>
              <w:t>验收标准：按磋商文件、磋商响应文件及澄清函、项目检查情况等综合指标进行验收。各项指标均应符合验收标准及要求。</w:t>
            </w:r>
          </w:p>
          <w:p>
            <w:pPr>
              <w:pStyle w:val="null3"/>
              <w:ind w:firstLine="643"/>
              <w:jc w:val="both"/>
            </w:pPr>
            <w:r>
              <w:rPr>
                <w:rFonts w:ascii="仿宋_GB2312" w:hAnsi="仿宋_GB2312" w:cs="仿宋_GB2312" w:eastAsia="仿宋_GB2312"/>
                <w:sz w:val="32"/>
                <w:b/>
              </w:rPr>
              <w:t>8、付款方式</w:t>
            </w:r>
          </w:p>
          <w:p>
            <w:pPr>
              <w:pStyle w:val="null3"/>
              <w:ind w:firstLine="640"/>
              <w:jc w:val="both"/>
            </w:pPr>
            <w:r>
              <w:rPr>
                <w:rFonts w:ascii="仿宋_GB2312" w:hAnsi="仿宋_GB2312" w:cs="仿宋_GB2312" w:eastAsia="仿宋_GB2312"/>
                <w:sz w:val="32"/>
              </w:rPr>
              <w:t>合同签订，供应商进场后</w:t>
            </w:r>
            <w:r>
              <w:rPr>
                <w:rFonts w:ascii="仿宋_GB2312" w:hAnsi="仿宋_GB2312" w:cs="仿宋_GB2312" w:eastAsia="仿宋_GB2312"/>
                <w:sz w:val="32"/>
              </w:rPr>
              <w:t>，达到付款条件起</w:t>
            </w:r>
            <w:r>
              <w:rPr>
                <w:rFonts w:ascii="仿宋_GB2312" w:hAnsi="仿宋_GB2312" w:cs="仿宋_GB2312" w:eastAsia="仿宋_GB2312"/>
                <w:sz w:val="32"/>
              </w:rPr>
              <w:t>15 日内，支付合同总金额的 12.50%；供应商完成数据采集，向采购人提交成果文件并验收合格后 ，达到付款条件起 15 日内，支付合同总金额的 87.50%。</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自合同签订之日起150日历日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质量标准：满足相关行业规范及采购人需求。 验收标准：按磋商文件、磋商响应文件及澄清函、项目检查情况等综合指标进行验收。各项指标均应符合验收标准及要求。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合同签订，供应商进场后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12.50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供应商完成数据采集，向采购人提交成果文件并验收合格后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87.50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1、依据《中华人民共和国民法典》、《中华人民共和国政府采购法》《中华人民 共和国政府招投标法》的相关条款规定和本合同约定，乙方未全面履行合同义务或者发生违约，采购人会同招标组织机构有权 终止合同，依法向乙方进行经济索赔，并报请政府采购监督管理机关依法进行相应的行政处罚。采购人违约的，应当赔偿给乙 方造成的经济损失。 2、合同执行中发生争议的，当事人双方应友好协商解决，协商不成，可向当地行政仲裁机关申请仲裁或 者向合同签订地人民法院提请诉讼。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(1)具有独立承担民事责任能力，提供供应商合法注册的法人或其他组织的营业执照/事业单位法人证书/非企业专业服务机构执业许可证/民办非企业单位登记证书； (2)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 提供在工商管理部门备案的公司章程。）； (3)提供具有履行合同所必需的设备和专业技术能力的说明及承诺；（详见附件，加盖投标人公章） (4)税收缴纳证明：提供投标截止时间前六个月内任意一个月的纳税证明或完税证明；（以税款所属期为准，依法免税的应提供相关证明材料） (5)社会保障资金缴纳证明：供应商提供本单位2025年01月至今已缴纳的至少一个月的社会保障资金缴存单据或社保机构开具的社会保险参保缴费情况证明；（依法不需要缴纳社会保障资金的投标人应提供相关证明） (6)提供参加政府采购活动前三年内在经营活动中没有重大违法记录的书面声明；（详见附件，加盖投标人公章）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(1)单位负责人为同一人或者存在直接控股、管理关系的不同供应商不 得参加同一合同项下的政府采购活动；（提供承诺函，格式自拟加盖投标人公 章） (2)为本项目提供整体设计、规范编制或者项目管理、监理、检测等服务 的供应商，不得再参加该采购项目的其他采购活动。（提供声明, 格式自拟加 盖投标人公章）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投标人公章），（法定代表人参加投标只须提供法定代表人身份证明及身份证复印件并加盖投标人公章）；（注：被授权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拟派本项目项目负责人须具有水土保持或相关专业高级及以上职称；</w:t>
            </w:r>
          </w:p>
        </w:tc>
        <w:tc>
          <w:tcPr>
            <w:tcW w:type="dxa" w:w="1661"/>
          </w:tcPr>
          <w:p>
            <w:pPr>
              <w:pStyle w:val="null3"/>
            </w:pPr>
            <w:r>
              <w:rPr>
                <w:rFonts w:ascii="仿宋_GB2312" w:hAnsi="仿宋_GB2312" w:cs="仿宋_GB2312" w:eastAsia="仿宋_GB2312"/>
              </w:rPr>
              <w:t>特殊资格要求.docx 项目管理机构组成表.pdf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本项目不接受联合体投标。（提供非联合体声明, 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 附加条件。</w:t>
            </w:r>
          </w:p>
        </w:tc>
        <w:tc>
          <w:tcPr>
            <w:tcW w:type="dxa" w:w="1661"/>
          </w:tcPr>
          <w:p>
            <w:pPr>
              <w:pStyle w:val="null3"/>
            </w:pPr>
            <w:r>
              <w:rPr>
                <w:rFonts w:ascii="仿宋_GB2312" w:hAnsi="仿宋_GB2312" w:cs="仿宋_GB2312" w:eastAsia="仿宋_GB2312"/>
              </w:rPr>
              <w:t>服务方案 其它说明.docx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投标方案.docx 其它说明.docx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响应文件封面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投标方案.docx 特殊资格要求.docx 一般资格要求.docx 其它说明.docx 商务要求响应偏离表.docx 项目管理机构组成表.pdf 服务内容及服务要求响应偏离表.docx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项目全面分析</w:t>
            </w:r>
          </w:p>
        </w:tc>
        <w:tc>
          <w:tcPr>
            <w:tcW w:type="dxa" w:w="2492"/>
          </w:tcPr>
          <w:p>
            <w:pPr>
              <w:pStyle w:val="null3"/>
            </w:pPr>
            <w:r>
              <w:rPr>
                <w:rFonts w:ascii="仿宋_GB2312" w:hAnsi="仿宋_GB2312" w:cs="仿宋_GB2312" w:eastAsia="仿宋_GB2312"/>
              </w:rPr>
              <w:t>根据项目现状，对本项目的理解，项目全面分析包括但不限于：①项目背景②工作范围③规划编制内容和要求等方面。 评审标准：对本项目理解全面准确，深度分析到位，以上3项，内容无缺项、无漏项且无缺陷的得15分，其中每有一项内容存在缺项或漏项的扣5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方案编制</w:t>
            </w:r>
          </w:p>
        </w:tc>
        <w:tc>
          <w:tcPr>
            <w:tcW w:type="dxa" w:w="2492"/>
          </w:tcPr>
          <w:p>
            <w:pPr>
              <w:pStyle w:val="null3"/>
            </w:pPr>
            <w:r>
              <w:rPr>
                <w:rFonts w:ascii="仿宋_GB2312" w:hAnsi="仿宋_GB2312" w:cs="仿宋_GB2312" w:eastAsia="仿宋_GB2312"/>
              </w:rPr>
              <w:t>针对本项目实际需求，提供实施方案，包括但不限于：①工作思路及工作方法②工作内容及工作阶段划分③规划建设方案④成果文件交付⑤应急处理方案等。 评审标准：工作思路清晰，工作内容全面，提供详细、合理、科学可行的方案,方案符合本项目采购需求有针对性，以上5项内容无缺项、无漏项且无缺陷的得20分，其中每有一项内容存在缺项或漏项的扣4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供应商需针对本项目制定服务质量保障措施，内容包括但不限于：①服务质量管理计划；②质量保证措施；③质量保障体系。（二）评审标准 ①完整性：方案须全面，对评审内容中的各项要求有详细描述；②可实施性：切合本项目实际情况，实施步骤清晰、合理；③针对性：方案能够紧扣项目实际情况，内容科学合理。（三）赋分标准：上述3项评审内容全部满足评审标准得9分。每完全满足一个评审标准得1分，每项评审内容满分3分；方案评审内容存在缺陷的扣1分，该项分值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人员组织安排</w:t>
            </w:r>
          </w:p>
        </w:tc>
        <w:tc>
          <w:tcPr>
            <w:tcW w:type="dxa" w:w="2492"/>
          </w:tcPr>
          <w:p>
            <w:pPr>
              <w:pStyle w:val="null3"/>
            </w:pPr>
            <w:r>
              <w:rPr>
                <w:rFonts w:ascii="仿宋_GB2312" w:hAnsi="仿宋_GB2312" w:cs="仿宋_GB2312" w:eastAsia="仿宋_GB2312"/>
              </w:rPr>
              <w:t>人员组织安排包括但不限于：①项目管理机构图②岗位安排及职责③管理制度等。 评审标准：拟派项目团队配置合理，岗位职责清晰，符合本项目采购需求有针对性，以上3项内容无缺项、无漏项且无缺陷的得12分，其中每有一项内容存在缺项或漏项的扣4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备注：以上人员均须提供相关证书证明材料以及在本单位缴纳社保证明或劳动合同，未提供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p>
            <w:pPr>
              <w:pStyle w:val="null3"/>
            </w:pPr>
            <w:r>
              <w:rPr>
                <w:rFonts w:ascii="仿宋_GB2312" w:hAnsi="仿宋_GB2312" w:cs="仿宋_GB2312" w:eastAsia="仿宋_GB2312"/>
              </w:rPr>
              <w:t>项目管理机构组成表.pdf</w:t>
            </w:r>
          </w:p>
        </w:tc>
      </w:tr>
      <w:tr>
        <w:tc>
          <w:tcPr>
            <w:tcW w:type="dxa" w:w="831"/>
            <w:vMerge/>
          </w:tcPr>
          <w:p/>
        </w:tc>
        <w:tc>
          <w:tcPr>
            <w:tcW w:type="dxa" w:w="1661"/>
          </w:tcPr>
          <w:p>
            <w:pPr>
              <w:pStyle w:val="null3"/>
            </w:pPr>
            <w:r>
              <w:rPr>
                <w:rFonts w:ascii="仿宋_GB2312" w:hAnsi="仿宋_GB2312" w:cs="仿宋_GB2312" w:eastAsia="仿宋_GB2312"/>
              </w:rPr>
              <w:t>设备保证</w:t>
            </w:r>
          </w:p>
        </w:tc>
        <w:tc>
          <w:tcPr>
            <w:tcW w:type="dxa" w:w="2492"/>
          </w:tcPr>
          <w:p>
            <w:pPr>
              <w:pStyle w:val="null3"/>
            </w:pPr>
            <w:r>
              <w:rPr>
                <w:rFonts w:ascii="仿宋_GB2312" w:hAnsi="仿宋_GB2312" w:cs="仿宋_GB2312" w:eastAsia="仿宋_GB2312"/>
              </w:rPr>
              <w:t>（一）评审内容 供应商需针对本项目制定设备保证方案，内容包括但不限于：①设备配置清单；②设备适用性说明；③设备使用与维护计划。 （二）评审标准 ①完整性：方案须全面，对评审内容中的各项要求有详细描述；②可实施性：切合本项目实际情况，实施步骤清晰、合理；③针对性：方案能够紧扣项目实际情况，内容科学合理。（三）赋分标准：上述3项评审内容全部满足评审标准得9分。每完全满足一个评审标准得1分，每项评审内容满分3分；方案评审内容存在缺陷的扣1分，该项分值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重难点分析及合理化建议</w:t>
            </w:r>
          </w:p>
        </w:tc>
        <w:tc>
          <w:tcPr>
            <w:tcW w:type="dxa" w:w="2492"/>
          </w:tcPr>
          <w:p>
            <w:pPr>
              <w:pStyle w:val="null3"/>
            </w:pPr>
            <w:r>
              <w:rPr>
                <w:rFonts w:ascii="仿宋_GB2312" w:hAnsi="仿宋_GB2312" w:cs="仿宋_GB2312" w:eastAsia="仿宋_GB2312"/>
              </w:rPr>
              <w:t>针对投标供应商提供的项目重点、难点分析及解决措施，包括但不限于：①项目重难点分析②解决措施③合理化建议等。 评审标准：重难点分析全面，建议针对性强、切实可行，符合本项目采购需求有针对性，以上3项内容无缺项、无漏项且无缺陷的得15分，其中每有一项内容存在缺项或漏项的扣5分，每项内容中每有一处存在缺陷的扣1分，该项分值扣完为止，未提供不得分。 备注：“缺陷”是指套用其他项目方案内容；存在不适用项目实际情况的情形，可实施性不强；引用科学原理错误以及无法实现的情形；引用的法律法规、标准（方法）或其他规范性文件错误；语言错误或存在歧义；前后内容不一；逻辑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供应商2023年1月1日至今同类项目业绩，每提供1份得2.5分，最高得5分；业绩证明（以合同或中标通 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1、价格分统一采用低价优先法计算，即满足磋商文件要求且磋商价格最低的响应报价为磋商基准价，其价格分为满分（报价高于预算价或低于成本价为无效报价）其他供应商的价格分统一按照下列公式计算： 磋商报价得分=(磋商基准价／响应报价)×15 2、计算分数时四舍五入取小数点后两位。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详见附件：其它说明.docx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详见附件：项目管理机构组成表.pdf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详见附件：服务合同样本.docx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