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版本号：CZCGAJ(2025)TXXS-120251202001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图像显示系统项目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CZCGAJ(2025)TXXS-1</w:t>
      </w:r>
      <w:r>
        <w:br/>
      </w:r>
      <w:r>
        <w:br/>
      </w:r>
      <w:r>
        <w:br/>
      </w:r>
    </w:p>
    <w:p>
      <w:pPr>
        <w:pStyle w:val="null3"/>
        <w:jc w:val="center"/>
        <w:outlineLvl w:val="2"/>
      </w:pPr>
      <w:r>
        <w:rPr>
          <w:rFonts w:ascii="仿宋_GB2312" w:hAnsi="仿宋_GB2312" w:cs="仿宋_GB2312" w:eastAsia="仿宋_GB2312"/>
          <w:sz w:val="28"/>
          <w:b/>
        </w:rPr>
        <w:t>澄城县公安局</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澄城县公安局</w:t>
      </w:r>
      <w:r>
        <w:rPr>
          <w:rFonts w:ascii="仿宋_GB2312" w:hAnsi="仿宋_GB2312" w:cs="仿宋_GB2312" w:eastAsia="仿宋_GB2312"/>
        </w:rPr>
        <w:t>委托，拟对</w:t>
      </w:r>
      <w:r>
        <w:rPr>
          <w:rFonts w:ascii="仿宋_GB2312" w:hAnsi="仿宋_GB2312" w:cs="仿宋_GB2312" w:eastAsia="仿宋_GB2312"/>
        </w:rPr>
        <w:t>图像显示系统项目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CZCGAJ(2025)TXXS-1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图像显示系统项目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我局指挥中心原采购安装的图像显示系统设备因时间长设备老化、存在安全隐患等原因，已经严重影响指挥中心对于图像显示观看及调取，不能正常运行办公，为了我局110指挥中心及领导和办案人员能够正常观看各种视频图像以及显示系统设备的正常办公及运行，现急需采购一套图像显示系统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内任意一个月社会保障资金凭证并加盖投标人公章）</w:t>
      </w:r>
    </w:p>
    <w:p>
      <w:pPr>
        <w:pStyle w:val="null3"/>
      </w:pPr>
      <w:r>
        <w:rPr>
          <w:rFonts w:ascii="仿宋_GB2312" w:hAnsi="仿宋_GB2312" w:cs="仿宋_GB2312" w:eastAsia="仿宋_GB2312"/>
        </w:rPr>
        <w:t>8、信用主体查询：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澄城县万泉街二路东200米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13809135959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澄城县公安局</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（1）货物到达采购人指定地点后，由采购人组织双方参与方式对货物进行验收，须满足招标文件、投标响应及合同约定相关要求，且须符合国家、行业规定的相关标准和国家质检要求，一次性自行验收。 （2）货物供应渠道正规、稳定且质量有保证，检验手续合法有效，具备完善的管理制度流程； （3）对于验收不合格的产品应及时退回供应商，同时做好相关记录。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澄城县公安局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澄城县公安局</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澄城县公安局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联系人：乔先生</w:t>
      </w:r>
    </w:p>
    <w:p>
      <w:pPr>
        <w:pStyle w:val="null3"/>
      </w:pPr>
      <w:r>
        <w:rPr>
          <w:rFonts w:ascii="仿宋_GB2312" w:hAnsi="仿宋_GB2312" w:cs="仿宋_GB2312" w:eastAsia="仿宋_GB2312"/>
        </w:rPr>
        <w:t>联系电话：13809135959</w:t>
      </w:r>
    </w:p>
    <w:p>
      <w:pPr>
        <w:pStyle w:val="null3"/>
      </w:pPr>
      <w:r>
        <w:rPr>
          <w:rFonts w:ascii="仿宋_GB2312" w:hAnsi="仿宋_GB2312" w:cs="仿宋_GB2312" w:eastAsia="仿宋_GB2312"/>
        </w:rPr>
        <w:t>地址：澄城县万泉街二路东200米</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局指挥中心原采购安装的图像显示系统设备因时间长设备老化、存在安全隐患等原因，已经严重影响指挥中心对于图像显示观看及调取，不能正常运行办公，为了我局110指挥中心及领导和办案人员能够正常观看各种视频图像以及显示系统设备的正常办公及运行，现急需采购一套图像显示系统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图像显示系统项目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标的名称：图像显示系统项目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6"/>
              <w:gridCol w:w="274"/>
              <w:gridCol w:w="1229"/>
              <w:gridCol w:w="240"/>
              <w:gridCol w:w="151"/>
              <w:gridCol w:w="240"/>
              <w:gridCol w:w="240"/>
            </w:tblGrid>
            <w:tr>
              <w:tc>
                <w:tcPr>
                  <w:tcW w:type="dxa" w:w="2550"/>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color w:val="000000"/>
                    </w:rPr>
                    <w:t>图像显示系统（LED显示屏产品参数清单）</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技术参数</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LED显示屏</w:t>
                  </w:r>
                </w:p>
              </w:tc>
              <w:tc>
                <w:tcPr>
                  <w:tcW w:type="dxa" w:w="12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产品类别：室内小间距全彩LED</w:t>
                  </w:r>
                  <w:r>
                    <w:br/>
                  </w:r>
                  <w:r>
                    <w:rPr>
                      <w:rFonts w:ascii="仿宋_GB2312" w:hAnsi="仿宋_GB2312" w:cs="仿宋_GB2312" w:eastAsia="仿宋_GB2312"/>
                      <w:sz w:val="19"/>
                      <w:color w:val="000000"/>
                    </w:rPr>
                    <w:t xml:space="preserve"> 像素结构：1R1G1B</w:t>
                  </w:r>
                  <w:r>
                    <w:br/>
                  </w:r>
                  <w:r>
                    <w:rPr>
                      <w:rFonts w:ascii="仿宋_GB2312" w:hAnsi="仿宋_GB2312" w:cs="仿宋_GB2312" w:eastAsia="仿宋_GB2312"/>
                      <w:sz w:val="19"/>
                      <w:color w:val="000000"/>
                    </w:rPr>
                    <w:t xml:space="preserve"> 封装方式：COB</w:t>
                  </w:r>
                  <w:r>
                    <w:br/>
                  </w:r>
                  <w:r>
                    <w:rPr>
                      <w:rFonts w:ascii="仿宋_GB2312" w:hAnsi="仿宋_GB2312" w:cs="仿宋_GB2312" w:eastAsia="仿宋_GB2312"/>
                      <w:sz w:val="19"/>
                      <w:color w:val="000000"/>
                    </w:rPr>
                    <w:t xml:space="preserve"> 像素间距：1.25 mm</w:t>
                  </w:r>
                  <w:r>
                    <w:br/>
                  </w:r>
                  <w:r>
                    <w:rPr>
                      <w:rFonts w:ascii="仿宋_GB2312" w:hAnsi="仿宋_GB2312" w:cs="仿宋_GB2312" w:eastAsia="仿宋_GB2312"/>
                      <w:sz w:val="19"/>
                      <w:color w:val="000000"/>
                    </w:rPr>
                    <w:t xml:space="preserve"> 像素密度：640000 点/</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箱体模组组成：2 × 2</w:t>
                  </w:r>
                  <w:r>
                    <w:br/>
                  </w:r>
                  <w:r>
                    <w:rPr>
                      <w:rFonts w:ascii="仿宋_GB2312" w:hAnsi="仿宋_GB2312" w:cs="仿宋_GB2312" w:eastAsia="仿宋_GB2312"/>
                      <w:sz w:val="20"/>
                      <w:color w:val="000000"/>
                    </w:rPr>
                    <w:t xml:space="preserve"> 箱体尺寸：600（W）× 337.5（H）× 29.5（D） mm</w:t>
                  </w:r>
                  <w:r>
                    <w:br/>
                  </w:r>
                  <w:r>
                    <w:rPr>
                      <w:rFonts w:ascii="仿宋_GB2312" w:hAnsi="仿宋_GB2312" w:cs="仿宋_GB2312" w:eastAsia="仿宋_GB2312"/>
                      <w:sz w:val="20"/>
                      <w:color w:val="000000"/>
                    </w:rPr>
                    <w:t xml:space="preserve"> 箱体分辨率：480 × 270</w:t>
                  </w:r>
                  <w:r>
                    <w:br/>
                  </w:r>
                  <w:r>
                    <w:rPr>
                      <w:rFonts w:ascii="仿宋_GB2312" w:hAnsi="仿宋_GB2312" w:cs="仿宋_GB2312" w:eastAsia="仿宋_GB2312"/>
                      <w:sz w:val="20"/>
                      <w:color w:val="000000"/>
                    </w:rPr>
                    <w:t xml:space="preserve"> 箱体面积：0.2025 </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箱体重量：3.4 kg</w:t>
                  </w:r>
                  <w:r>
                    <w:br/>
                  </w:r>
                  <w:r>
                    <w:rPr>
                      <w:rFonts w:ascii="仿宋_GB2312" w:hAnsi="仿宋_GB2312" w:cs="仿宋_GB2312" w:eastAsia="仿宋_GB2312"/>
                      <w:sz w:val="20"/>
                      <w:color w:val="000000"/>
                    </w:rPr>
                    <w:t xml:space="preserve"> 箱体材质：压铸铝箱体</w:t>
                  </w:r>
                  <w:r>
                    <w:br/>
                  </w:r>
                  <w:r>
                    <w:rPr>
                      <w:rFonts w:ascii="仿宋_GB2312" w:hAnsi="仿宋_GB2312" w:cs="仿宋_GB2312" w:eastAsia="仿宋_GB2312"/>
                      <w:sz w:val="20"/>
                      <w:color w:val="000000"/>
                    </w:rPr>
                    <w:t xml:space="preserve"> 维护方式：完全前维护</w:t>
                  </w:r>
                  <w:r>
                    <w:br/>
                  </w:r>
                  <w:r>
                    <w:rPr>
                      <w:rFonts w:ascii="仿宋_GB2312" w:hAnsi="仿宋_GB2312" w:cs="仿宋_GB2312" w:eastAsia="仿宋_GB2312"/>
                      <w:sz w:val="20"/>
                      <w:color w:val="000000"/>
                    </w:rPr>
                    <w:t xml:space="preserve"> 模组尺寸：300 x 168.75 mm</w:t>
                  </w:r>
                  <w:r>
                    <w:br/>
                  </w:r>
                  <w:r>
                    <w:rPr>
                      <w:rFonts w:ascii="仿宋_GB2312" w:hAnsi="仿宋_GB2312" w:cs="仿宋_GB2312" w:eastAsia="仿宋_GB2312"/>
                      <w:sz w:val="20"/>
                      <w:color w:val="000000"/>
                    </w:rPr>
                    <w:t xml:space="preserve"> 模组分辨率：240 × 135</w:t>
                  </w:r>
                  <w:r>
                    <w:br/>
                  </w:r>
                  <w:r>
                    <w:rPr>
                      <w:rFonts w:ascii="仿宋_GB2312" w:hAnsi="仿宋_GB2312" w:cs="仿宋_GB2312" w:eastAsia="仿宋_GB2312"/>
                      <w:sz w:val="20"/>
                      <w:color w:val="000000"/>
                    </w:rPr>
                    <w:t xml:space="preserve"> 封装品牌：国产铜线</w:t>
                  </w:r>
                  <w:r>
                    <w:br/>
                  </w:r>
                  <w:r>
                    <w:rPr>
                      <w:rFonts w:ascii="仿宋_GB2312" w:hAnsi="仿宋_GB2312" w:cs="仿宋_GB2312" w:eastAsia="仿宋_GB2312"/>
                      <w:sz w:val="20"/>
                      <w:color w:val="000000"/>
                    </w:rPr>
                    <w:t xml:space="preserve"> 白平衡亮度：600 cd/</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色温：3000-10000 K可调</w:t>
                  </w:r>
                  <w:r>
                    <w:br/>
                  </w:r>
                  <w:r>
                    <w:rPr>
                      <w:rFonts w:ascii="仿宋_GB2312" w:hAnsi="仿宋_GB2312" w:cs="仿宋_GB2312" w:eastAsia="仿宋_GB2312"/>
                      <w:sz w:val="20"/>
                      <w:color w:val="000000"/>
                    </w:rPr>
                    <w:t xml:space="preserve"> 可视角：160°(H)/160°(V)</w:t>
                  </w:r>
                  <w:r>
                    <w:br/>
                  </w:r>
                  <w:r>
                    <w:rPr>
                      <w:rFonts w:ascii="仿宋_GB2312" w:hAnsi="仿宋_GB2312" w:cs="仿宋_GB2312" w:eastAsia="仿宋_GB2312"/>
                      <w:sz w:val="20"/>
                      <w:color w:val="000000"/>
                    </w:rPr>
                    <w:t xml:space="preserve"> 对比度：3000：1</w:t>
                  </w:r>
                  <w:r>
                    <w:br/>
                  </w:r>
                  <w:r>
                    <w:rPr>
                      <w:rFonts w:ascii="仿宋_GB2312" w:hAnsi="仿宋_GB2312" w:cs="仿宋_GB2312" w:eastAsia="仿宋_GB2312"/>
                      <w:sz w:val="20"/>
                      <w:color w:val="000000"/>
                    </w:rPr>
                    <w:t xml:space="preserve"> 色度均匀性：± 0.003Cx，Cy之内</w:t>
                  </w:r>
                  <w:r>
                    <w:br/>
                  </w:r>
                  <w:r>
                    <w:rPr>
                      <w:rFonts w:ascii="仿宋_GB2312" w:hAnsi="仿宋_GB2312" w:cs="仿宋_GB2312" w:eastAsia="仿宋_GB2312"/>
                      <w:sz w:val="20"/>
                      <w:color w:val="000000"/>
                    </w:rPr>
                    <w:t xml:space="preserve"> 亮度均匀性：≥ 97％</w:t>
                  </w:r>
                  <w:r>
                    <w:br/>
                  </w:r>
                  <w:r>
                    <w:rPr>
                      <w:rFonts w:ascii="仿宋_GB2312" w:hAnsi="仿宋_GB2312" w:cs="仿宋_GB2312" w:eastAsia="仿宋_GB2312"/>
                      <w:sz w:val="20"/>
                      <w:color w:val="000000"/>
                    </w:rPr>
                    <w:t xml:space="preserve"> 驱动方式：恒流驱动</w:t>
                  </w:r>
                  <w:r>
                    <w:br/>
                  </w:r>
                  <w:r>
                    <w:rPr>
                      <w:rFonts w:ascii="仿宋_GB2312" w:hAnsi="仿宋_GB2312" w:cs="仿宋_GB2312" w:eastAsia="仿宋_GB2312"/>
                      <w:sz w:val="20"/>
                      <w:color w:val="000000"/>
                    </w:rPr>
                    <w:t xml:space="preserve"> 换帧频率：60 Hz</w:t>
                  </w:r>
                  <w:r>
                    <w:br/>
                  </w:r>
                  <w:r>
                    <w:rPr>
                      <w:rFonts w:ascii="仿宋_GB2312" w:hAnsi="仿宋_GB2312" w:cs="仿宋_GB2312" w:eastAsia="仿宋_GB2312"/>
                      <w:sz w:val="20"/>
                      <w:color w:val="000000"/>
                    </w:rPr>
                    <w:t xml:space="preserve"> 刷新率：3840 Hz</w:t>
                  </w:r>
                  <w:r>
                    <w:br/>
                  </w:r>
                  <w:r>
                    <w:rPr>
                      <w:rFonts w:ascii="仿宋_GB2312" w:hAnsi="仿宋_GB2312" w:cs="仿宋_GB2312" w:eastAsia="仿宋_GB2312"/>
                      <w:sz w:val="20"/>
                      <w:color w:val="000000"/>
                    </w:rPr>
                    <w:t xml:space="preserve"> 灰度等级：16 bit</w:t>
                  </w:r>
                  <w:r>
                    <w:br/>
                  </w:r>
                  <w:r>
                    <w:rPr>
                      <w:rFonts w:ascii="仿宋_GB2312" w:hAnsi="仿宋_GB2312" w:cs="仿宋_GB2312" w:eastAsia="仿宋_GB2312"/>
                      <w:sz w:val="20"/>
                      <w:color w:val="000000"/>
                    </w:rPr>
                    <w:t xml:space="preserve"> 峰值功耗：≤ 460 W/</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（600nits）</w:t>
                  </w:r>
                  <w:r>
                    <w:br/>
                  </w:r>
                  <w:r>
                    <w:rPr>
                      <w:rFonts w:ascii="仿宋_GB2312" w:hAnsi="仿宋_GB2312" w:cs="仿宋_GB2312" w:eastAsia="仿宋_GB2312"/>
                      <w:sz w:val="20"/>
                      <w:color w:val="000000"/>
                    </w:rPr>
                    <w:t xml:space="preserve"> 平均功耗：≤ 160 W/</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供电要求：100~240 VAC ± 10％</w:t>
                  </w:r>
                  <w:r>
                    <w:br/>
                  </w:r>
                  <w:r>
                    <w:rPr>
                      <w:rFonts w:ascii="仿宋_GB2312" w:hAnsi="仿宋_GB2312" w:cs="仿宋_GB2312" w:eastAsia="仿宋_GB2312"/>
                      <w:sz w:val="20"/>
                      <w:color w:val="000000"/>
                    </w:rPr>
                    <w:t xml:space="preserve"> 工作温度：-10 ℃ ~ 40 ℃</w:t>
                  </w:r>
                  <w:r>
                    <w:br/>
                  </w:r>
                  <w:r>
                    <w:rPr>
                      <w:rFonts w:ascii="仿宋_GB2312" w:hAnsi="仿宋_GB2312" w:cs="仿宋_GB2312" w:eastAsia="仿宋_GB2312"/>
                      <w:sz w:val="20"/>
                      <w:color w:val="000000"/>
                    </w:rPr>
                    <w:t xml:space="preserve"> 工作湿度：10%~60% RH（无冷凝水）</w:t>
                  </w:r>
                  <w:r>
                    <w:br/>
                  </w:r>
                  <w:r>
                    <w:rPr>
                      <w:rFonts w:ascii="仿宋_GB2312" w:hAnsi="仿宋_GB2312" w:cs="仿宋_GB2312" w:eastAsia="仿宋_GB2312"/>
                      <w:sz w:val="20"/>
                      <w:color w:val="000000"/>
                    </w:rPr>
                    <w:t xml:space="preserve"> 存储温度：-20 ℃ ~ 60 ℃</w:t>
                  </w:r>
                  <w:r>
                    <w:br/>
                  </w:r>
                  <w:r>
                    <w:rPr>
                      <w:rFonts w:ascii="仿宋_GB2312" w:hAnsi="仿宋_GB2312" w:cs="仿宋_GB2312" w:eastAsia="仿宋_GB2312"/>
                      <w:sz w:val="20"/>
                      <w:color w:val="000000"/>
                    </w:rPr>
                    <w:t xml:space="preserve"> 存储湿度：10%~85% RH（无冷凝水）</w:t>
                  </w:r>
                  <w:r>
                    <w:br/>
                  </w:r>
                  <w:r>
                    <w:rPr>
                      <w:rFonts w:ascii="仿宋_GB2312" w:hAnsi="仿宋_GB2312" w:cs="仿宋_GB2312" w:eastAsia="仿宋_GB2312"/>
                      <w:sz w:val="20"/>
                      <w:color w:val="000000"/>
                    </w:rPr>
                    <w:t xml:space="preserve"> 包装尺寸：框架包装尺寸：712 ( W ) mm × 338 ( H ) mm × 445 ( D ) mm（ 1 包 5 ）；灯板包装尺寸：431 ( W ) mm × 368 ( H ) mm × 256 ( D ) mm（ 1 包 20 ）</w:t>
                  </w:r>
                  <w:r>
                    <w:br/>
                  </w:r>
                  <w:r>
                    <w:rPr>
                      <w:rFonts w:ascii="仿宋_GB2312" w:hAnsi="仿宋_GB2312" w:cs="仿宋_GB2312" w:eastAsia="仿宋_GB2312"/>
                      <w:sz w:val="20"/>
                      <w:color w:val="000000"/>
                    </w:rPr>
                    <w:t xml:space="preserve"> 毛重：15.6 kg ( 1包5框架 ) ; 6.9 kg ( 1包20灯板)</w:t>
                  </w:r>
                  <w:r>
                    <w:br/>
                  </w:r>
                  <w:r>
                    <w:rPr>
                      <w:rFonts w:ascii="仿宋_GB2312" w:hAnsi="仿宋_GB2312" w:cs="仿宋_GB2312" w:eastAsia="仿宋_GB2312"/>
                      <w:sz w:val="20"/>
                      <w:color w:val="000000"/>
                    </w:rPr>
                    <w:t xml:space="preserve"> 净重：3.4 kg (框架 x 1 + 灯板 x 4) </w:t>
                  </w:r>
                </w:p>
              </w:tc>
              <w:tc>
                <w:tcPr>
                  <w:tcW w:type="dxa" w:w="2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w:t>
                  </w:r>
                </w:p>
              </w:tc>
              <w:tc>
                <w:tcPr>
                  <w:tcW w:type="dxa" w:w="1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48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显示尺寸：                                              宽10.2m×高2.3625m=24.10m²            屏体分辨率8160点*1890点</w:t>
                  </w:r>
                </w:p>
              </w:tc>
            </w:tr>
            <w:tr>
              <w:tc>
                <w:tcPr>
                  <w:tcW w:type="dxa" w:w="176"/>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1229"/>
                  <w:vMerge/>
                  <w:tcBorders>
                    <w:top w:val="single" w:color="000000" w:sz="4"/>
                    <w:left w:val="single" w:color="000000" w:sz="4"/>
                    <w:bottom w:val="single" w:color="000000" w:sz="4"/>
                    <w:right w:val="single" w:color="000000" w:sz="4"/>
                  </w:tcBorders>
                </w:tcPr>
                <w:p/>
              </w:tc>
              <w:tc>
                <w:tcPr>
                  <w:tcW w:type="dxa" w:w="240"/>
                  <w:vMerge/>
                  <w:tcBorders>
                    <w:top w:val="single" w:color="000000" w:sz="4"/>
                    <w:left w:val="single" w:color="000000" w:sz="4"/>
                    <w:bottom w:val="single" w:color="000000" w:sz="4"/>
                    <w:right w:val="single" w:color="000000" w:sz="4"/>
                  </w:tcBorders>
                </w:tcPr>
                <w:p/>
              </w:tc>
              <w:tc>
                <w:tcPr>
                  <w:tcW w:type="dxa" w:w="151"/>
                  <w:vMerge/>
                  <w:tcBorders>
                    <w:top w:val="single" w:color="000000" w:sz="4"/>
                    <w:left w:val="single" w:color="000000" w:sz="4"/>
                    <w:bottom w:val="single" w:color="000000" w:sz="4"/>
                    <w:right w:val="single" w:color="000000" w:sz="4"/>
                  </w:tcBorders>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配套级联线</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含排线/级联线</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LED专用</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视屏处理器</w:t>
                  </w:r>
                </w:p>
              </w:tc>
              <w:tc>
                <w:tcPr>
                  <w:tcW w:type="dxa" w:w="122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1、纯硬件设计架构，19英寸标准机架式安装，金属结构机箱；</w:t>
                  </w:r>
                  <w:r>
                    <w:br/>
                  </w:r>
                  <w:r>
                    <w:rPr>
                      <w:rFonts w:ascii="仿宋_GB2312" w:hAnsi="仿宋_GB2312" w:cs="仿宋_GB2312" w:eastAsia="仿宋_GB2312"/>
                      <w:sz w:val="19"/>
                      <w:color w:val="000000"/>
                    </w:rPr>
                    <w:t xml:space="preserve"> 2、支持对输入图像画面添加台标，可调整台标文字背景、位置；支持 OSD 文字叠加显示，并可对OSD属性进行调节，包括但不限于字体间距、颜色、透明度等；</w:t>
                  </w:r>
                  <w:r>
                    <w:br/>
                  </w:r>
                  <w:r>
                    <w:rPr>
                      <w:rFonts w:ascii="仿宋_GB2312" w:hAnsi="仿宋_GB2312" w:cs="仿宋_GB2312" w:eastAsia="仿宋_GB2312"/>
                      <w:sz w:val="19"/>
                      <w:color w:val="000000"/>
                    </w:rPr>
                    <w:t xml:space="preserve"> 3、支持2000个用户场景，支持多场景分组合、场景一键轮巡等；</w:t>
                  </w:r>
                  <w:r>
                    <w:br/>
                  </w:r>
                  <w:r>
                    <w:rPr>
                      <w:rFonts w:ascii="仿宋_GB2312" w:hAnsi="仿宋_GB2312" w:cs="仿宋_GB2312" w:eastAsia="仿宋_GB2312"/>
                      <w:sz w:val="19"/>
                      <w:color w:val="000000"/>
                    </w:rPr>
                    <w:t xml:space="preserve"> 4、支持通过移动终端进行无线控制，实现图层编辑、信号更换，场景保存／调取、画面控制等操作;</w:t>
                  </w:r>
                  <w:r>
                    <w:br/>
                  </w:r>
                  <w:r>
                    <w:rPr>
                      <w:rFonts w:ascii="仿宋_GB2312" w:hAnsi="仿宋_GB2312" w:cs="仿宋_GB2312" w:eastAsia="仿宋_GB2312"/>
                      <w:sz w:val="19"/>
                      <w:color w:val="000000"/>
                    </w:rPr>
                    <w:t xml:space="preserve"> 5、支持实时上屏和预编上屏两种模式，实时上屏模式可实现用户编辑实时上屏显示； 预编上屏模式支持在软件端进行显示内容预编辑后，再上屏显示；</w:t>
                  </w:r>
                  <w:r>
                    <w:br/>
                  </w:r>
                  <w:r>
                    <w:rPr>
                      <w:rFonts w:ascii="仿宋_GB2312" w:hAnsi="仿宋_GB2312" w:cs="仿宋_GB2312" w:eastAsia="仿宋_GB2312"/>
                      <w:sz w:val="19"/>
                      <w:color w:val="000000"/>
                    </w:rPr>
                    <w:t xml:space="preserve"> 6、支持用户权限分级管理和设置，超级管理员用户可分配用户使用权限，支持多用户同时在线编辑、 控制、 上屏操作， 可预览其他用户操作；</w:t>
                  </w:r>
                  <w:r>
                    <w:br/>
                  </w:r>
                  <w:r>
                    <w:rPr>
                      <w:rFonts w:ascii="仿宋_GB2312" w:hAnsi="仿宋_GB2312" w:cs="仿宋_GB2312" w:eastAsia="仿宋_GB2312"/>
                      <w:sz w:val="19"/>
                      <w:color w:val="000000"/>
                    </w:rPr>
                    <w:t xml:space="preserve"> 7、支持输入源画面任意截取，可对截取的画面开窗调用，并可作为一个新的输入源， 不影响原画面。</w:t>
                  </w:r>
                </w:p>
              </w:tc>
              <w:tc>
                <w:tcPr>
                  <w:tcW w:type="dxa" w:w="24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5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480"/>
                  <w:gridSpan w:val="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LED全彩屏发送卡</w:t>
                  </w:r>
                </w:p>
              </w:tc>
              <w:tc>
                <w:tcPr>
                  <w:tcW w:type="dxa" w:w="1229"/>
                  <w:tcBorders>
                    <w:top w:val="single" w:color="000000" w:sz="4"/>
                    <w:left w:val="single" w:color="000000" w:sz="4"/>
                    <w:bottom w:val="none" w:color="000000" w:sz="4"/>
                    <w:right w:val="single" w:color="000000" w:sz="4"/>
                  </w:tcBorders>
                  <w:tcMar>
                    <w:top w:type="dxa" w:w="15"/>
                    <w:left w:type="dxa" w:w="15"/>
                    <w:right w:type="dxa" w:w="15"/>
                  </w:tcMar>
                  <w:vAlign w:val="top"/>
                </w:tcPr>
                <w:p/>
              </w:tc>
              <w:tc>
                <w:tcPr>
                  <w:tcW w:type="dxa" w:w="24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5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480"/>
                  <w:gridSpan w:val="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智能配电柜</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1.额定功率：15KW；</w:t>
                  </w:r>
                  <w:r>
                    <w:br/>
                  </w:r>
                  <w:r>
                    <w:rPr>
                      <w:rFonts w:ascii="仿宋_GB2312" w:hAnsi="仿宋_GB2312" w:cs="仿宋_GB2312" w:eastAsia="仿宋_GB2312"/>
                      <w:sz w:val="19"/>
                      <w:color w:val="000000"/>
                    </w:rPr>
                    <w:t xml:space="preserve"> 2.配电柜输入电压为交流380V±15%，工频50Hz；</w:t>
                  </w:r>
                  <w:r>
                    <w:br/>
                  </w:r>
                  <w:r>
                    <w:rPr>
                      <w:rFonts w:ascii="仿宋_GB2312" w:hAnsi="仿宋_GB2312" w:cs="仿宋_GB2312" w:eastAsia="仿宋_GB2312"/>
                      <w:sz w:val="19"/>
                      <w:color w:val="000000"/>
                    </w:rPr>
                    <w:t xml:space="preserve"> 3.具有过压、浪涌、短路、过流、过载保护功能  ；</w:t>
                  </w:r>
                  <w:r>
                    <w:br/>
                  </w:r>
                  <w:r>
                    <w:rPr>
                      <w:rFonts w:ascii="仿宋_GB2312" w:hAnsi="仿宋_GB2312" w:cs="仿宋_GB2312" w:eastAsia="仿宋_GB2312"/>
                      <w:sz w:val="19"/>
                      <w:color w:val="000000"/>
                    </w:rPr>
                    <w:t xml:space="preserve"> 4.带多功能卡，能远程软件控制大屏电源                          </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六类非屏蔽网线</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RVV3*2.5</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LED大屏落地式结构</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镀锌方钢结构具有耐盐雾腐蚀性能和抗氧化性；有防高温、阻燃、防静电防护措施；采用高精度镀锌方钢材结构支架设计；要求平整、坚固、美观</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28.40 </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铝塑板装修</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定制铝塑板</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设备拆除</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原拼接屏设备拆除、支架拆除搬运</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拆除就近放置。</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水晶头、拆牌、膨胀螺丝、三角铁、扎带等</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运输安装调试费</w:t>
                  </w:r>
                </w:p>
              </w:tc>
              <w:tc>
                <w:tcPr>
                  <w:tcW w:type="dxa" w:w="12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现场安装调试培训</w:t>
                  </w:r>
                </w:p>
              </w:tc>
              <w:tc>
                <w:tcPr>
                  <w:tcW w:type="dxa" w:w="2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pPr>
            <w:r>
              <w:rPr>
                <w:rFonts w:ascii="仿宋_GB2312" w:hAnsi="仿宋_GB2312" w:cs="仿宋_GB2312" w:eastAsia="仿宋_GB2312"/>
                <w:sz w:val="24"/>
                <w:b/>
              </w:rPr>
              <w:t>备注：效果图详见附件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合同签订生效后10天内需要交货完毕、安装调试完成。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货物配送到位,验收完成后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（1）货物到达采购人指定地点后，由采购人组织双方参与方式对货物进行验收，须满足招标文件、投标响应及合同约定相关要求，且须符合国家、行业规定的相关标准和国家质检要求，一次性自行验收。 （2）货物供应渠道正规、稳定且质量有保证，检验手续合法有效，具备完善的管理制度流程； （3）对于验收不合格的产品应及时退回供应商，同时做好相关记录。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质量保修范围：本项目采购的所有设备 保修期：一年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内任意一个月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分项报价表(货物).docx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投标文件上法定代表人或被授权人的盖章或签字齐全并加盖公章。</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分项报价表(货物).docx 产品技术参数表 投标函 残疾人福利性单位声明函 业绩证明材料.docx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 ”要求，可以扩充。</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分项报价表(货物).docx 产品技术参数表 投标函 残疾人福利性单位声明函 业绩证明材料.docx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分项报价表(货物).docx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分项报价表(货物).docx 产品技术参数表 投标函 残疾人福利性单位声明函 业绩证明材料.docx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分项报价表(货物).docx 产品技术参数表 投标函 残疾人福利性单位声明函 业绩证明材料.docx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分项报价表(货物).docx 产品技术参数表 投标函 残疾人福利性单位声明函 业绩证明材料.docx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技术指标、配置</w:t>
            </w:r>
          </w:p>
        </w:tc>
        <w:tc>
          <w:tcPr>
            <w:tcW w:type="dxa" w:w="2492"/>
          </w:tcPr>
          <w:p>
            <w:pPr>
              <w:pStyle w:val="null3"/>
            </w:pPr>
            <w:r>
              <w:rPr>
                <w:rFonts w:ascii="仿宋_GB2312" w:hAnsi="仿宋_GB2312" w:cs="仿宋_GB2312" w:eastAsia="仿宋_GB2312"/>
              </w:rPr>
              <w:t>基本分（22分）：完全响应招标文件技术 参数、性能要求的计22分。每负偏离一项扣1分，扣完为止。 加分项（3分）：在 基本分的基础上，响应产品主要参数经评 标委员会认定优于招标文件规定的参数要 求 ，并且有实质性提升的，根据响应程度 进行相应加分，每正偏离一项加1分，最多加3分。 注：所投产品需 提供的技术指标和功能证明材料；包括但不限于产品介绍、彩页、说明书、检测报告、官网和功能截图 。</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 ，该方案包含：①总体实施方案； ②计划进度安排； ③项目团队配备 ；④安装调试方案 ；⑤项目验收方案。完整提供上述5项内容的得15分；每有一项未提供扣2分，每有一处有缺陷扣0.5分，扣完为止。（缺陷是指内容缺项、不完整或缺少关键点、只有简单描述无实 质性内容； 非专门针对本项目或不 适用本 项目特性、 套用其他项目内 容；对同一问题前后表述 矛盾；存在逻辑漏洞、科学原理或常识错误 ；不利于本项目目标的实现、现有技术条件下不可能出现的情形等任意 一种情形 。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针对本项目提供完整的建设方案，内容包括：①对于本项目建设的现状分析；②需求分析及建设内容；③整体建设效果展示。其中建设方案完整，完全符合项目需求，规范、合理、科学，切实可行得7.1-10.0分；建设方案较完整，基本符合项目需求，规范性、可实施性一般，得4.1-7.0分；建设方案不完整、与项目实际需求完全不符，不规范，可实施性差，得0-4.0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投标设备的质量保障措施，确保生产 供应 的设备无假货、水货、翻新货且无产权纠纷，并符合国际、国内 相关标准或行业标准，提供来源渠道合法的证明文件（包括但不限于销售协议、代理协议、原厂授权等 ），根据响应程度进行赋分。投标设 备 质量措施完整、详尽，证明文件 齐全，得 7.1-10.0分； 投标设备质量措 施、证明文件 基本完善，得4.1-7.0分； 投标设 备质量措施不够 完善、证明文件不全，得 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针对本项目提供具体可行的售后服务，包括：①针对本项目的售后质量保证方案及承诺；②具有建全的售后服务机构及配备专职配送人员。 (二)评审标准 1、完整性：方案须全面，对评审内容中的各项要求有详细描述及说明； 2、可实施性：切合本项目实际情况，实施步骤清晰、合理； 3、针对性：方案能够紧扣项目实际情况，内容科学合理。 (三)赋分标准（满分6分） ①针对本项目的售后质量保证方案及承诺；：每完全满足一项评审标准得1分，满分3分； ②具有建全的售后服务机构及配备专职配送人员及应急处理人员：每完全满足一项评审标准得1分，满分3分；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供应商2023年1月1日至今同类项目业绩，每提供1份得1分，最高得3分；业绩证明（以合同或中标通知书为准，须在投标文件中附合同或中标通知书的扫描件加盖单位公章）弄虚作假者，取消其中标资格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分项报价表(货物).docx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分项报价表(货物).docx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