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版本号：CZCZRZY(2025)GTBG-120251229001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澄城县国土变更调查工作</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CZCZRZY(2025)GTBG-1</w:t>
      </w:r>
      <w:r>
        <w:br/>
      </w:r>
      <w:r>
        <w:br/>
      </w:r>
      <w:r>
        <w:br/>
      </w:r>
    </w:p>
    <w:p>
      <w:pPr>
        <w:pStyle w:val="null3"/>
        <w:jc w:val="center"/>
        <w:outlineLvl w:val="2"/>
      </w:pPr>
      <w:r>
        <w:rPr>
          <w:rFonts w:ascii="仿宋_GB2312" w:hAnsi="仿宋_GB2312" w:cs="仿宋_GB2312" w:eastAsia="仿宋_GB2312"/>
          <w:sz w:val="28"/>
          <w:b/>
        </w:rPr>
        <w:t>澄城县自然资源局</w:t>
      </w:r>
    </w:p>
    <w:p>
      <w:pPr>
        <w:pStyle w:val="null3"/>
        <w:jc w:val="center"/>
        <w:outlineLvl w:val="2"/>
      </w:pPr>
      <w:r>
        <w:rPr>
          <w:rFonts w:ascii="仿宋_GB2312" w:hAnsi="仿宋_GB2312" w:cs="仿宋_GB2312" w:eastAsia="仿宋_GB2312"/>
          <w:sz w:val="28"/>
          <w:b/>
        </w:rPr>
        <w:t>澄城县政府采购中心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澄城县政府采购中心</w:t>
      </w:r>
      <w:r>
        <w:rPr>
          <w:rFonts w:ascii="仿宋_GB2312" w:hAnsi="仿宋_GB2312" w:cs="仿宋_GB2312" w:eastAsia="仿宋_GB2312"/>
        </w:rPr>
        <w:t>（以下简称“代理机构”）受</w:t>
      </w:r>
      <w:r>
        <w:rPr>
          <w:rFonts w:ascii="仿宋_GB2312" w:hAnsi="仿宋_GB2312" w:cs="仿宋_GB2312" w:eastAsia="仿宋_GB2312"/>
        </w:rPr>
        <w:t>澄城县自然资源局</w:t>
      </w:r>
      <w:r>
        <w:rPr>
          <w:rFonts w:ascii="仿宋_GB2312" w:hAnsi="仿宋_GB2312" w:cs="仿宋_GB2312" w:eastAsia="仿宋_GB2312"/>
        </w:rPr>
        <w:t>委托，拟对</w:t>
      </w:r>
      <w:r>
        <w:rPr>
          <w:rFonts w:ascii="仿宋_GB2312" w:hAnsi="仿宋_GB2312" w:cs="仿宋_GB2312" w:eastAsia="仿宋_GB2312"/>
        </w:rPr>
        <w:t>澄城县国土变更调查工作</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CZCZRZY(2025)GTBG-1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澄城县国土变更调查工作</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完成澄城县国土变更调查工作成果，成果提交省级、国家级审核通过。</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采购包1（澄城县国土变更调查工作）：属于专门面向中小企业采购。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1、营业执照等证明文件：具有独立承担民事责任能力，提供供应商合法注册的法人或其他组织的营业执照；</w:t>
      </w:r>
    </w:p>
    <w:p>
      <w:pPr>
        <w:pStyle w:val="null3"/>
      </w:pPr>
      <w:r>
        <w:rPr>
          <w:rFonts w:ascii="仿宋_GB2312" w:hAnsi="仿宋_GB2312" w:cs="仿宋_GB2312" w:eastAsia="仿宋_GB2312"/>
        </w:rPr>
        <w:t>2、财务状况证明：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p>
      <w:pPr>
        <w:pStyle w:val="null3"/>
      </w:pPr>
      <w:r>
        <w:rPr>
          <w:rFonts w:ascii="仿宋_GB2312" w:hAnsi="仿宋_GB2312" w:cs="仿宋_GB2312" w:eastAsia="仿宋_GB2312"/>
        </w:rPr>
        <w:t>3、具有履行合同所必需的设备和专业技术能力：提供具有履行合同所必需的设备和专业技术能力的说明及承诺;</w:t>
      </w:r>
    </w:p>
    <w:p>
      <w:pPr>
        <w:pStyle w:val="null3"/>
      </w:pPr>
      <w:r>
        <w:rPr>
          <w:rFonts w:ascii="仿宋_GB2312" w:hAnsi="仿宋_GB2312" w:cs="仿宋_GB2312" w:eastAsia="仿宋_GB2312"/>
        </w:rPr>
        <w:t>4、税收缴纳证明：税收缴纳证明：提供投标截止时间前六个月内任意一个月的纳税证明或完税证明；（以税款所属期为准，依法免税的应提供相关证明材料）</w:t>
      </w:r>
    </w:p>
    <w:p>
      <w:pPr>
        <w:pStyle w:val="null3"/>
      </w:pPr>
      <w:r>
        <w:rPr>
          <w:rFonts w:ascii="仿宋_GB2312" w:hAnsi="仿宋_GB2312" w:cs="仿宋_GB2312" w:eastAsia="仿宋_GB2312"/>
        </w:rPr>
        <w:t>5、社会保障资金缴纳证明：供应商提供本单位2025年01月至今已缴纳的至少一个月的社会保障资金缴存单据或社保机构开具的社会保险参保缴费情况证明；（依法不需要缴纳社会保障资金的投标人应提供相关证明）</w:t>
      </w:r>
    </w:p>
    <w:p>
      <w:pPr>
        <w:pStyle w:val="null3"/>
      </w:pPr>
      <w:r>
        <w:rPr>
          <w:rFonts w:ascii="仿宋_GB2312" w:hAnsi="仿宋_GB2312" w:cs="仿宋_GB2312" w:eastAsia="仿宋_GB2312"/>
        </w:rPr>
        <w:t>6、无重大违法记录声明：提供参加政府采购活动前三年内在经营活动中没有重大违法记录的书面声明；</w:t>
      </w:r>
    </w:p>
    <w:p>
      <w:pPr>
        <w:pStyle w:val="null3"/>
      </w:pPr>
      <w:r>
        <w:rPr>
          <w:rFonts w:ascii="仿宋_GB2312" w:hAnsi="仿宋_GB2312" w:cs="仿宋_GB2312" w:eastAsia="仿宋_GB2312"/>
        </w:rPr>
        <w:t>7、供应商应授权合法的人员参加招标全过程：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p>
      <w:pPr>
        <w:pStyle w:val="null3"/>
      </w:pPr>
      <w:r>
        <w:rPr>
          <w:rFonts w:ascii="仿宋_GB2312" w:hAnsi="仿宋_GB2312" w:cs="仿宋_GB2312" w:eastAsia="仿宋_GB2312"/>
        </w:rPr>
        <w:t>8、供应商资质：供应商须具备行政主管部门颁发的测绘乙级及以上资质；</w:t>
      </w:r>
    </w:p>
    <w:p>
      <w:pPr>
        <w:pStyle w:val="null3"/>
      </w:pPr>
      <w:r>
        <w:rPr>
          <w:rFonts w:ascii="仿宋_GB2312" w:hAnsi="仿宋_GB2312" w:cs="仿宋_GB2312" w:eastAsia="仿宋_GB2312"/>
        </w:rPr>
        <w:t>9、项目负责人：拟派项目负责人须具备测绘及相关专业中级及以上职称；</w:t>
      </w:r>
    </w:p>
    <w:p>
      <w:pPr>
        <w:pStyle w:val="null3"/>
      </w:pPr>
      <w:r>
        <w:rPr>
          <w:rFonts w:ascii="仿宋_GB2312" w:hAnsi="仿宋_GB2312" w:cs="仿宋_GB2312" w:eastAsia="仿宋_GB2312"/>
        </w:rPr>
        <w:t>10、供应商信用信息：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p>
      <w:pPr>
        <w:pStyle w:val="null3"/>
      </w:pPr>
      <w:r>
        <w:rPr>
          <w:rFonts w:ascii="仿宋_GB2312" w:hAnsi="仿宋_GB2312" w:cs="仿宋_GB2312" w:eastAsia="仿宋_GB2312"/>
        </w:rPr>
        <w:t>11、非联合体投标：本项目不接受联合体投标;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澄城县自然资源局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澄城县古徵街七路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13891362444</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澄城县政府采购中心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澄城县古徵街北段财政局大楼四楼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蒋女士、权女士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0913-6868979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澄城县政府采购管理股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0913-6868908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采购包1：7,800,000.00元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澄城县自然资源局</w:t>
      </w:r>
      <w:r>
        <w:rPr>
          <w:rFonts w:ascii="仿宋_GB2312" w:hAnsi="仿宋_GB2312" w:cs="仿宋_GB2312" w:eastAsia="仿宋_GB2312"/>
        </w:rPr>
        <w:t>和</w:t>
      </w:r>
      <w:r>
        <w:rPr>
          <w:rFonts w:ascii="仿宋_GB2312" w:hAnsi="仿宋_GB2312" w:cs="仿宋_GB2312" w:eastAsia="仿宋_GB2312"/>
        </w:rPr>
        <w:t>澄城县政府采购中心</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澄城县自然资源局</w:t>
      </w:r>
      <w:r>
        <w:rPr>
          <w:rFonts w:ascii="仿宋_GB2312" w:hAnsi="仿宋_GB2312" w:cs="仿宋_GB2312" w:eastAsia="仿宋_GB2312"/>
        </w:rPr>
        <w:t>负责解释。除上述招标文件内容，其他内容由</w:t>
      </w:r>
      <w:r>
        <w:rPr>
          <w:rFonts w:ascii="仿宋_GB2312" w:hAnsi="仿宋_GB2312" w:cs="仿宋_GB2312" w:eastAsia="仿宋_GB2312"/>
        </w:rPr>
        <w:t>澄城县政府采购中心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澄城县自然资源局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澄城县政府采购中心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最终成果由省级负责核查验收所有成果内容，省级通过后报送部级核查确认。成果内容符合国家标准、行业标准以及有关技术规范要求等。</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澄城县自然资源局</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澄城县自然资源局</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联系电话：13891362444</w:t>
      </w:r>
    </w:p>
    <w:p>
      <w:pPr>
        <w:pStyle w:val="null3"/>
      </w:pPr>
      <w:r>
        <w:rPr>
          <w:rFonts w:ascii="仿宋_GB2312" w:hAnsi="仿宋_GB2312" w:cs="仿宋_GB2312" w:eastAsia="仿宋_GB2312"/>
        </w:rPr>
        <w:t>地址：澄城县古徵街七路</w:t>
      </w:r>
    </w:p>
    <w:p>
      <w:pPr>
        <w:pStyle w:val="null3"/>
      </w:pPr>
      <w:r>
        <w:rPr>
          <w:rFonts w:ascii="仿宋_GB2312" w:hAnsi="仿宋_GB2312" w:cs="仿宋_GB2312" w:eastAsia="仿宋_GB2312"/>
        </w:rPr>
        <w:t>邮编：715200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完成澄城县国土变更调查工作成果，成果提交省级、国家级审核通过。</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7,800,000.00</w:t>
      </w:r>
    </w:p>
    <w:p>
      <w:pPr>
        <w:pStyle w:val="null3"/>
      </w:pPr>
      <w:r>
        <w:rPr>
          <w:rFonts w:ascii="仿宋_GB2312" w:hAnsi="仿宋_GB2312" w:cs="仿宋_GB2312" w:eastAsia="仿宋_GB2312"/>
        </w:rPr>
        <w:t>采购包最高限价（元）: 7,800,000.00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澄城县国土变更调查工作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标的名称：澄城县国土变更调查工作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both"/>
            </w:pPr>
            <w:r>
              <w:rPr>
                <w:rFonts w:ascii="仿宋_GB2312" w:hAnsi="仿宋_GB2312" w:cs="仿宋_GB2312" w:eastAsia="仿宋_GB2312"/>
                <w:sz w:val="21"/>
              </w:rPr>
              <w:t>一、服务指标的具体要求</w:t>
            </w:r>
          </w:p>
          <w:p>
            <w:pPr>
              <w:pStyle w:val="null3"/>
              <w:ind w:firstLine="640"/>
              <w:jc w:val="both"/>
            </w:pPr>
            <w:r>
              <w:rPr>
                <w:rFonts w:ascii="仿宋_GB2312" w:hAnsi="仿宋_GB2312" w:cs="仿宋_GB2312" w:eastAsia="仿宋_GB2312"/>
                <w:sz w:val="21"/>
                <w:color w:val="000000"/>
              </w:rPr>
              <w:t>1、服务项目概况</w:t>
            </w:r>
          </w:p>
          <w:p>
            <w:pPr>
              <w:pStyle w:val="null3"/>
              <w:ind w:firstLine="640"/>
              <w:jc w:val="both"/>
            </w:pPr>
            <w:r>
              <w:rPr>
                <w:rFonts w:ascii="仿宋_GB2312" w:hAnsi="仿宋_GB2312" w:cs="仿宋_GB2312" w:eastAsia="仿宋_GB2312"/>
                <w:sz w:val="21"/>
                <w:color w:val="000000"/>
              </w:rPr>
              <w:t>根据《土地管理法》、《土地调查条例》规定及部省工作部署安排，为保证第三次全国国土调查成果的现势性，掌握年度国土利用变化情况，特别是自</w:t>
            </w:r>
            <w:r>
              <w:rPr>
                <w:rFonts w:ascii="仿宋_GB2312" w:hAnsi="仿宋_GB2312" w:cs="仿宋_GB2312" w:eastAsia="仿宋_GB2312"/>
                <w:sz w:val="21"/>
                <w:color w:val="000000"/>
              </w:rPr>
              <w:t>2022年开始，年度变更调查成果数据作为地方政府耕地保护和粮食安全责任制考核的基础数据。需按照自然资源部国土变更调查工作实施方案和技术规程，开展年度国土变更调查工作。同步做好日常变更调查、耕地流入流出、耕地资源分区分类评价成果年度更新与监测等自然资源调查监测工作。</w:t>
            </w:r>
          </w:p>
          <w:p>
            <w:pPr>
              <w:pStyle w:val="null3"/>
              <w:ind w:firstLine="640"/>
              <w:jc w:val="both"/>
            </w:pPr>
            <w:r>
              <w:rPr>
                <w:rFonts w:ascii="仿宋_GB2312" w:hAnsi="仿宋_GB2312" w:cs="仿宋_GB2312" w:eastAsia="仿宋_GB2312"/>
                <w:sz w:val="21"/>
                <w:color w:val="000000"/>
              </w:rPr>
              <w:t>2、工作内容</w:t>
            </w:r>
          </w:p>
          <w:p>
            <w:pPr>
              <w:pStyle w:val="null3"/>
              <w:ind w:firstLine="640"/>
              <w:jc w:val="both"/>
            </w:pPr>
            <w:r>
              <w:rPr>
                <w:rFonts w:ascii="仿宋_GB2312" w:hAnsi="仿宋_GB2312" w:cs="仿宋_GB2312" w:eastAsia="仿宋_GB2312"/>
                <w:sz w:val="21"/>
                <w:color w:val="000000"/>
              </w:rPr>
              <w:t>在上年度变更调查成果基础上，结合本年度部各类监测监管成果，开展全覆盖遥感监测工作，通过县级实地调查、逐级核查，掌握本年度国土利用变化情况，更新各级国土调查数据库，并做好耕地资源分区分类评价成果年度更新与监测工作。同时，根据自然资源管理需要，进一步加强日常变更调查、耕地流入流出、耕地资源分类年度更新与监测等自然资源调查监测工作。</w:t>
            </w:r>
          </w:p>
          <w:p>
            <w:pPr>
              <w:pStyle w:val="null3"/>
              <w:ind w:firstLine="640"/>
              <w:jc w:val="both"/>
            </w:pPr>
            <w:r>
              <w:rPr>
                <w:rFonts w:ascii="仿宋_GB2312" w:hAnsi="仿宋_GB2312" w:cs="仿宋_GB2312" w:eastAsia="仿宋_GB2312"/>
                <w:sz w:val="21"/>
                <w:color w:val="000000"/>
              </w:rPr>
              <w:t>3、工作任务</w:t>
            </w:r>
          </w:p>
          <w:p>
            <w:pPr>
              <w:pStyle w:val="null3"/>
              <w:ind w:firstLine="640"/>
              <w:jc w:val="both"/>
            </w:pPr>
            <w:r>
              <w:rPr>
                <w:rFonts w:ascii="仿宋_GB2312" w:hAnsi="仿宋_GB2312" w:cs="仿宋_GB2312" w:eastAsia="仿宋_GB2312"/>
                <w:sz w:val="21"/>
                <w:color w:val="000000"/>
              </w:rPr>
              <w:t>3.1按国家和陕西省统一要求完成澄城县年度国土变更调查。依据国家统一标准和陕西省具体要求，按照“全覆盖、全类型、可追溯”的原则，在利用卫星遥感、互联网、云计算等技术，统筹利用现有资料，以国家下发的正射影像图为基础，对国家提取的地类变化信息、省级补充提取的变化信息、县级纳入的变化信息，开展实地调查举证，全面掌握年度的地类、面积、属性和相关单独图层信息的变化情况，更新数据库。通过调查、统计、分析，掌握全县年度永久基本农田变化，建设占用农用地、耕地非粮化、耕地非农化状况，设施农用地变化等有关情况。</w:t>
            </w:r>
          </w:p>
          <w:p>
            <w:pPr>
              <w:pStyle w:val="null3"/>
              <w:ind w:firstLine="640"/>
              <w:jc w:val="both"/>
            </w:pPr>
            <w:r>
              <w:rPr>
                <w:rFonts w:ascii="仿宋_GB2312" w:hAnsi="仿宋_GB2312" w:cs="仿宋_GB2312" w:eastAsia="仿宋_GB2312"/>
                <w:sz w:val="21"/>
                <w:color w:val="000000"/>
              </w:rPr>
              <w:t>3.2对年度国土变更调查数据进行相关统计分析。按照年度国土变更成果数据，对照年度国土变更调查成果，逐图斑分析地类变化过程，形成图斑变化台账，做好各地类变化总量统计，形成年度各类土地利用变化汇总结果，分析出类数据变化原因，形成数据分析报告，合理分析与土地用途变化的情况及原因，结合县自然资源管理各项工作实际情况，进行年度土地利用变化数据分析，编写县级土地利用变化情况分析报告。</w:t>
            </w:r>
          </w:p>
          <w:p>
            <w:pPr>
              <w:pStyle w:val="null3"/>
              <w:ind w:firstLine="640"/>
              <w:jc w:val="both"/>
            </w:pPr>
            <w:r>
              <w:rPr>
                <w:rFonts w:ascii="仿宋_GB2312" w:hAnsi="仿宋_GB2312" w:cs="仿宋_GB2312" w:eastAsia="仿宋_GB2312"/>
                <w:sz w:val="21"/>
                <w:color w:val="000000"/>
              </w:rPr>
              <w:t>3.3做好日常国土变更调查工作。按照年度变更调查有关要求，开展季度或半年度集中举证，制作变化图斑矢量数据，逐级上报检查，减轻年底变更调查工作压力。</w:t>
            </w:r>
          </w:p>
          <w:p>
            <w:pPr>
              <w:pStyle w:val="null3"/>
              <w:ind w:firstLine="640"/>
              <w:jc w:val="both"/>
            </w:pPr>
            <w:r>
              <w:rPr>
                <w:rFonts w:ascii="仿宋_GB2312" w:hAnsi="仿宋_GB2312" w:cs="仿宋_GB2312" w:eastAsia="仿宋_GB2312"/>
                <w:sz w:val="21"/>
                <w:color w:val="000000"/>
              </w:rPr>
              <w:t>3.4完成耕地资源分区分类评价更新。在上年度耕地资源质量分类成果及本年度变更调查成果基础上，结合年度土地综合整治、高标准农田建设等项目竣工验收资料，部组织耕地资源分区分类评价更新，开展国家级数据质量检查、更新入库与汇总分析等工作，全面掌握年度内耕地资源分区分类变化情况。</w:t>
            </w:r>
          </w:p>
          <w:p>
            <w:pPr>
              <w:pStyle w:val="null3"/>
              <w:ind w:firstLine="640"/>
              <w:jc w:val="both"/>
            </w:pPr>
            <w:r>
              <w:rPr>
                <w:rFonts w:ascii="仿宋_GB2312" w:hAnsi="仿宋_GB2312" w:cs="仿宋_GB2312" w:eastAsia="仿宋_GB2312"/>
                <w:sz w:val="21"/>
                <w:color w:val="000000"/>
              </w:rPr>
              <w:t>3.5配合完成相关技术工作和其他相关工作。</w:t>
            </w:r>
          </w:p>
          <w:p>
            <w:pPr>
              <w:pStyle w:val="null3"/>
              <w:ind w:firstLine="640"/>
              <w:jc w:val="both"/>
            </w:pPr>
            <w:r>
              <w:rPr>
                <w:rFonts w:ascii="仿宋_GB2312" w:hAnsi="仿宋_GB2312" w:cs="仿宋_GB2312" w:eastAsia="仿宋_GB2312"/>
                <w:sz w:val="21"/>
              </w:rPr>
              <w:t>二、</w:t>
            </w:r>
            <w:r>
              <w:rPr>
                <w:rFonts w:ascii="仿宋_GB2312" w:hAnsi="仿宋_GB2312" w:cs="仿宋_GB2312" w:eastAsia="仿宋_GB2312"/>
                <w:sz w:val="21"/>
              </w:rPr>
              <w:t>本项目的费用组成明细</w:t>
            </w:r>
          </w:p>
          <w:tbl>
            <w:tblPr>
              <w:tblInd w:type="dxa" w:w="90"/>
              <w:tblBorders>
                <w:top w:val="none" w:color="000000" w:sz="4"/>
                <w:left w:val="none" w:color="000000" w:sz="4"/>
                <w:bottom w:val="none" w:color="000000" w:sz="4"/>
                <w:right w:val="none" w:color="000000" w:sz="4"/>
                <w:insideH w:val="none"/>
                <w:insideV w:val="none"/>
              </w:tblBorders>
            </w:tblPr>
            <w:tblGrid>
              <w:gridCol w:w="163"/>
              <w:gridCol w:w="945"/>
              <w:gridCol w:w="488"/>
              <w:gridCol w:w="522"/>
              <w:gridCol w:w="430"/>
            </w:tblGrid>
            <w:tr>
              <w:tc>
                <w:tcPr>
                  <w:tcW w:type="dxa" w:w="16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序号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工作内容</w:t>
                  </w:r>
                </w:p>
              </w:tc>
              <w:tc>
                <w:tcPr>
                  <w:tcW w:type="dxa" w:w="488"/>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数量</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单位</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准备阶段（前期准备、人员培训、编制技术方案及软件购置等）。</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2"/>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下发数据分析（监测图斑套合数据分析、自主举证图斑提取、地类样点选取）。</w:t>
                  </w:r>
                </w:p>
              </w:tc>
              <w:tc>
                <w:tcPr>
                  <w:tcW w:type="dxa" w:w="488"/>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外业调查（外业调查基础信息分析、基础信息收集、实地举证调查及信息填报）。</w:t>
                  </w:r>
                </w:p>
              </w:tc>
              <w:tc>
                <w:tcPr>
                  <w:tcW w:type="dxa" w:w="4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数据整理（外调成果修正基础数据、举证关联图斑修正、基础库修正及数据整理）。</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汇总建库（含审核修改）、质检；汇总分析报告及统计表格，成果自检通过后并逐级通过市、省、部审查及备案）。</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会议、差旅费、成果资料打印装订、税费及其他费用。</w:t>
                  </w:r>
                </w:p>
              </w:tc>
              <w:tc>
                <w:tcPr>
                  <w:tcW w:type="dxa" w:w="4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rPr>
              <w:t>三、服务质量、标准等要求</w:t>
            </w:r>
          </w:p>
          <w:p>
            <w:pPr>
              <w:pStyle w:val="null3"/>
              <w:ind w:firstLine="640"/>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乙方向甲方提交的项目成果应符合国家标准、行业标准以及有关技术规范要求。所交付成果应严格按照国家最新发布的规范标准执行。</w:t>
            </w:r>
          </w:p>
          <w:p>
            <w:pPr>
              <w:pStyle w:val="null3"/>
              <w:ind w:firstLine="640"/>
              <w:jc w:val="both"/>
            </w:pPr>
            <w:r>
              <w:rPr>
                <w:rFonts w:ascii="仿宋_GB2312" w:hAnsi="仿宋_GB2312" w:cs="仿宋_GB2312" w:eastAsia="仿宋_GB2312"/>
                <w:sz w:val="21"/>
                <w:color w:val="000000"/>
              </w:rPr>
              <w:t>2、成果提交要求:提交的成果内容、数量、格式必须满足国家、陕西省和渭南市的有关规定要求。</w:t>
            </w:r>
          </w:p>
          <w:p>
            <w:pPr>
              <w:pStyle w:val="null3"/>
              <w:ind w:firstLine="640"/>
              <w:jc w:val="both"/>
            </w:pPr>
            <w:r>
              <w:rPr>
                <w:rFonts w:ascii="仿宋_GB2312" w:hAnsi="仿宋_GB2312" w:cs="仿宋_GB2312" w:eastAsia="仿宋_GB2312"/>
                <w:sz w:val="21"/>
                <w:color w:val="000000"/>
              </w:rPr>
              <w:t>3、保密要求:成交供应商在项目实施过程中，对采购人所提供的所有相关资料、数据，未经采购人书面同意不得向任何第三人泄露，且保密责任不因合同的终止或解除而失效。如果采购人提出要求，成交供应商须无条件与采购人签订保密协议。项目完成后，成交供应商须将所有的资料、数据完整交付给采购人，并不得留存任何复制品。</w:t>
            </w:r>
          </w:p>
          <w:p>
            <w:pPr>
              <w:pStyle w:val="null3"/>
              <w:ind w:firstLine="640"/>
              <w:jc w:val="both"/>
            </w:pPr>
            <w:r>
              <w:rPr>
                <w:rFonts w:ascii="仿宋_GB2312" w:hAnsi="仿宋_GB2312" w:cs="仿宋_GB2312" w:eastAsia="仿宋_GB2312"/>
                <w:sz w:val="21"/>
              </w:rPr>
              <w:t>四、需执行的国家相关标准、行业标准、地方标准或者其他标准、规范标准</w:t>
            </w:r>
          </w:p>
          <w:p>
            <w:pPr>
              <w:pStyle w:val="null3"/>
              <w:ind w:firstLine="640"/>
              <w:jc w:val="both"/>
            </w:pPr>
            <w:r>
              <w:rPr>
                <w:rFonts w:ascii="仿宋_GB2312" w:hAnsi="仿宋_GB2312" w:cs="仿宋_GB2312" w:eastAsia="仿宋_GB2312"/>
                <w:sz w:val="21"/>
                <w:color w:val="000000"/>
              </w:rPr>
              <w:t>1、法律法规</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1）《中华人民共和国土地管理法》（2019年修正）</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2）《土地调查条例》</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）《土地调查条例实施办法》</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4）《全国国土空间规划纲要（2021—2035年）》</w:t>
            </w:r>
          </w:p>
          <w:p>
            <w:pPr>
              <w:pStyle w:val="null3"/>
              <w:ind w:firstLine="640"/>
              <w:jc w:val="both"/>
            </w:pPr>
            <w:r>
              <w:rPr>
                <w:rFonts w:ascii="仿宋_GB2312" w:hAnsi="仿宋_GB2312" w:cs="仿宋_GB2312" w:eastAsia="仿宋_GB2312"/>
                <w:sz w:val="21"/>
                <w:color w:val="000000"/>
              </w:rPr>
              <w:t>2、政策文件</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1）《自然资源部关于印发自然资源调查监测体系构建总体方案的通知》</w:t>
            </w:r>
            <w:r>
              <w:rPr>
                <w:rFonts w:ascii="仿宋_GB2312" w:hAnsi="仿宋_GB2312" w:cs="仿宋_GB2312" w:eastAsia="仿宋_GB2312"/>
                <w:sz w:val="21"/>
                <w:color w:val="000000"/>
              </w:rPr>
              <w:t>自然资发〔</w:t>
            </w:r>
            <w:r>
              <w:rPr>
                <w:rFonts w:ascii="仿宋_GB2312" w:hAnsi="仿宋_GB2312" w:cs="仿宋_GB2312" w:eastAsia="仿宋_GB2312"/>
                <w:sz w:val="21"/>
                <w:color w:val="000000"/>
              </w:rPr>
              <w:t>202</w:t>
            </w:r>
            <w:r>
              <w:rPr>
                <w:rFonts w:ascii="仿宋_GB2312" w:hAnsi="仿宋_GB2312" w:cs="仿宋_GB2312" w:eastAsia="仿宋_GB2312"/>
                <w:sz w:val="21"/>
                <w:color w:val="000000"/>
              </w:rPr>
              <w:t>0</w:t>
            </w:r>
            <w:r>
              <w:rPr>
                <w:rFonts w:ascii="仿宋_GB2312" w:hAnsi="仿宋_GB2312" w:cs="仿宋_GB2312" w:eastAsia="仿宋_GB2312"/>
                <w:sz w:val="21"/>
                <w:color w:val="000000"/>
              </w:rPr>
              <w:t>〕</w:t>
            </w:r>
            <w:r>
              <w:rPr>
                <w:rFonts w:ascii="仿宋_GB2312" w:hAnsi="仿宋_GB2312" w:cs="仿宋_GB2312" w:eastAsia="仿宋_GB2312"/>
                <w:sz w:val="21"/>
                <w:color w:val="000000"/>
              </w:rPr>
              <w:t>15</w:t>
            </w:r>
            <w:r>
              <w:rPr>
                <w:rFonts w:ascii="仿宋_GB2312" w:hAnsi="仿宋_GB2312" w:cs="仿宋_GB2312" w:eastAsia="仿宋_GB2312"/>
                <w:sz w:val="21"/>
                <w:color w:val="000000"/>
              </w:rPr>
              <w:t>号</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2）《关于以第三次全国国土调查成果为基础明确林地管理边界规范林地管理的通知》（自然资发〔2023〕53号）</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3）《自然资源部、国家林草局关于共同做好森林、草原、湿地调查监测工作的意见》（自然资发〔2022〕5号）</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4）《自然资源部办公厅、国家林业和草原局办公室关于开展2025年度国土变更调查及森林草原湿地荒漠化调查监测工作的通知》自然资办发〔2025〕33号</w:t>
            </w:r>
          </w:p>
          <w:p>
            <w:pPr>
              <w:pStyle w:val="null3"/>
              <w:ind w:firstLine="640"/>
              <w:jc w:val="both"/>
            </w:pPr>
            <w:r>
              <w:rPr>
                <w:rFonts w:ascii="仿宋_GB2312" w:hAnsi="仿宋_GB2312" w:cs="仿宋_GB2312" w:eastAsia="仿宋_GB2312"/>
                <w:sz w:val="21"/>
                <w:color w:val="000000"/>
              </w:rPr>
              <w:t>3、技术规范</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1）《第三次全国国土调查技术规程》（TD/T 1055-2019）</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2）《国土变更调查技术规程》</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《土地利用现状分类》（</w:t>
            </w:r>
            <w:r>
              <w:rPr>
                <w:rFonts w:ascii="仿宋_GB2312" w:hAnsi="仿宋_GB2312" w:cs="仿宋_GB2312" w:eastAsia="仿宋_GB2312"/>
                <w:sz w:val="21"/>
                <w:color w:val="000000"/>
              </w:rPr>
              <w:t>GB/T 21010-2017）</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《国土调查数据库标准》（</w:t>
            </w:r>
            <w:r>
              <w:rPr>
                <w:rFonts w:ascii="仿宋_GB2312" w:hAnsi="仿宋_GB2312" w:cs="仿宋_GB2312" w:eastAsia="仿宋_GB2312"/>
                <w:sz w:val="21"/>
                <w:color w:val="000000"/>
              </w:rPr>
              <w:t>TD/T 1057-2020）</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5）《国土空间调查、规划、用途管制用地用海分类指南》自然资发〔2023〕234号</w:t>
            </w:r>
          </w:p>
          <w:p>
            <w:pPr>
              <w:pStyle w:val="null3"/>
              <w:ind w:firstLine="640"/>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6）2025年度国土变更调查及森林草原湿地荒漠化调查监测实施方案</w:t>
            </w:r>
          </w:p>
          <w:p>
            <w:pPr>
              <w:pStyle w:val="null3"/>
              <w:ind w:firstLine="640"/>
              <w:jc w:val="both"/>
            </w:pPr>
            <w:r>
              <w:rPr>
                <w:rFonts w:ascii="仿宋_GB2312" w:hAnsi="仿宋_GB2312" w:cs="仿宋_GB2312" w:eastAsia="仿宋_GB2312"/>
                <w:sz w:val="21"/>
              </w:rPr>
              <w:t>五、付款方式</w:t>
            </w:r>
          </w:p>
          <w:p>
            <w:pPr>
              <w:pStyle w:val="null3"/>
              <w:ind w:firstLine="640"/>
              <w:jc w:val="both"/>
            </w:pPr>
            <w:r>
              <w:rPr>
                <w:rFonts w:ascii="仿宋_GB2312" w:hAnsi="仿宋_GB2312" w:cs="仿宋_GB2312" w:eastAsia="仿宋_GB2312"/>
                <w:sz w:val="21"/>
                <w:color w:val="000000"/>
              </w:rPr>
              <w:t>每年度项目费用分二次付清，成果提交至省级核查后，支付总费用的50%合同款，成果经部级核查确认通过及提交所有成果资料后，支付剩余50%合同款。</w:t>
            </w:r>
          </w:p>
          <w:p>
            <w:pPr>
              <w:pStyle w:val="null3"/>
              <w:ind w:firstLine="640"/>
              <w:jc w:val="both"/>
            </w:pPr>
            <w:r>
              <w:rPr>
                <w:rFonts w:ascii="仿宋_GB2312" w:hAnsi="仿宋_GB2312" w:cs="仿宋_GB2312" w:eastAsia="仿宋_GB2312"/>
                <w:sz w:val="21"/>
              </w:rPr>
              <w:t>六、验收标准</w:t>
            </w:r>
          </w:p>
          <w:p>
            <w:pPr>
              <w:pStyle w:val="null3"/>
              <w:ind w:firstLine="640"/>
              <w:jc w:val="both"/>
            </w:pPr>
            <w:r>
              <w:rPr>
                <w:rFonts w:ascii="仿宋_GB2312" w:hAnsi="仿宋_GB2312" w:cs="仿宋_GB2312" w:eastAsia="仿宋_GB2312"/>
                <w:sz w:val="21"/>
                <w:color w:val="000000"/>
              </w:rPr>
              <w:t>最终成果由省级负责核查验收所有成果内容，省级通过后报送部级核查确认。成果内容符合国家标准、行业标准以及有关技术规范要求等。</w:t>
            </w:r>
          </w:p>
          <w:p>
            <w:pPr>
              <w:pStyle w:val="null3"/>
              <w:ind w:firstLine="640"/>
              <w:jc w:val="both"/>
            </w:pPr>
            <w:r>
              <w:rPr>
                <w:rFonts w:ascii="仿宋_GB2312" w:hAnsi="仿宋_GB2312" w:cs="仿宋_GB2312" w:eastAsia="仿宋_GB2312"/>
              </w:rPr>
              <w:t xml:space="preserve"> </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渭南市澄城县</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最终成果由省级负责核查验收所有成果内容，省级通过后报送部级核查确认。成果内容符合国家标准、行业标准以及有关技术规范要求等。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每年度项目费用分二次付清，成果提交至省级核查后，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成果经部级核查确认通过及提交所有成果资料后，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中华人民共和国政府招投标法》的相关条款规定和本合同约定，中标供应商未全面履行合同义务或者发生违约，采购人会同招标组织机构有权终止合同，依法向中标供应商进行经济索赔，并报请政府采购监督管理机关依法进行相应的行政处罚。采购人违约的，应当赔偿给中标供应商造成的经济损失。 确认方不对任何一方的违约行为承担任何责任。</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1、本项目所属行业：其他未列明行业。划分标准：从业人员300人以下的为中小微型企业。其中，从业人员100人及以上的为中型企业；从业人员10人及以上的为小型企业；从业人员10人以下的为微型企业。 2、成交供应商在开标结束后3个工作日内向采购代理机构提供纸质版投标（或响应）文件正本1份（内容包括:签字盖章扫描后的PDF版本投标（或响应）文件）。装订：纸质版文件采用书籍（胶装）方式装订成册，与电子投标（或响应）一致的签字、盖章的完整版本。</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具有独立承担民事责任能力，提供供应商合法注册的法人或其他组织的营业执照；</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提供2024年度经审计的财务报告（包含审计报告和审计报告中所涉及的财务报表和报表附注）或提供2024年度完整的全套财务报表（应当包括资产负债表、利润表、现金流量表、所有者权益变动表、附注）或开标前六个月内基本存款账户开户银行出具的资信证明（附开户许可证或基本存款账户信息）(供应商注册时间截至开标时间不足一年的，也可提供在工商管理部门备案的公司章程。）；</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提供具有履行合同所必需的设备和专业技术能力的说明及承诺;</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税收缴纳证明：提供投标截止时间前六个月内任意一个月的纳税证明或完税证明；（以税款所属期为准，依法免税的应提供相关证明材料）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供应商提供本单位2025年01月至今已缴纳的至少一个月的社会保障资金缴存单据或社保机构开具的社会保险参保缴费情况证明；（依法不需要缴纳社会保障资金的投标人应提供相关证明）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法定代表人亲自参加投标的，应提供法定代表人身份证明书，法定代表人委托代理人参加投标的，应提供法定代表人委托授权书；（注：代理人须为本单位在职员工并提供投标截止日前三个月内任意一个月的社会保障资金凭证并加盖投标人公章）</w:t>
            </w:r>
          </w:p>
        </w:tc>
        <w:tc>
          <w:tcPr>
            <w:tcW w:type="dxa" w:w="1661"/>
          </w:tcPr>
          <w:p>
            <w:pPr>
              <w:pStyle w:val="null3"/>
            </w:pPr>
            <w:r>
              <w:rPr>
                <w:rFonts w:ascii="仿宋_GB2312" w:hAnsi="仿宋_GB2312" w:cs="仿宋_GB2312" w:eastAsia="仿宋_GB2312"/>
              </w:rPr>
              <w:t>法定代表人身份证明及法定代表人授权委托书.docx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供应商须具备行政主管部门颁发的测绘乙级及以上资质；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拟派项目负责人须具备测绘及相关专业中级及以上职称；</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供应商信用信息</w:t>
            </w:r>
          </w:p>
        </w:tc>
        <w:tc>
          <w:tcPr>
            <w:tcW w:type="dxa" w:w="3322"/>
          </w:tcPr>
          <w:p>
            <w:pPr>
              <w:pStyle w:val="null3"/>
            </w:pPr>
            <w:r>
              <w:rPr>
                <w:rFonts w:ascii="仿宋_GB2312" w:hAnsi="仿宋_GB2312" w:cs="仿宋_GB2312" w:eastAsia="仿宋_GB2312"/>
              </w:rPr>
              <w:t>供应商不得为“中国执行信息公开网”（http://zxgk.court.gov.cn/）中列入失信被执行人和“信用中国网站”（www.creditchina.gov.cn）重大税收违法案件当事人名单的供应商，不得为中国政府采购网（www.ccgp.gov.cn）政府采购严重违法失信行为记录名单中被财政部门禁止参加政府采购活动的供应商；（提供查询结果网页截图，并加盖投标人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分项报价表(服务).docx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响应文件签署、签章</w:t>
            </w:r>
          </w:p>
        </w:tc>
        <w:tc>
          <w:tcPr>
            <w:tcW w:type="dxa" w:w="3322"/>
          </w:tcPr>
          <w:p>
            <w:pPr>
              <w:pStyle w:val="null3"/>
            </w:pPr>
            <w:r>
              <w:rPr>
                <w:rFonts w:ascii="仿宋_GB2312" w:hAnsi="仿宋_GB2312" w:cs="仿宋_GB2312" w:eastAsia="仿宋_GB2312"/>
              </w:rPr>
              <w:t>与所投项目名称、项目编号一致，且符合招标文件签署、盖章要求。</w:t>
            </w:r>
          </w:p>
        </w:tc>
        <w:tc>
          <w:tcPr>
            <w:tcW w:type="dxa" w:w="1661"/>
          </w:tcPr>
          <w:p>
            <w:pPr>
              <w:pStyle w:val="null3"/>
            </w:pPr>
            <w:r>
              <w:rPr>
                <w:rFonts w:ascii="仿宋_GB2312" w:hAnsi="仿宋_GB2312" w:cs="仿宋_GB2312" w:eastAsia="仿宋_GB2312"/>
              </w:rPr>
              <w:t>开标一览表 法定代表人身份证明及法定代表人授权委托书.docx 服务内容及服务邀请应答表 中小企业声明函 商务应答表 投标人应提交的相关资格证明材料 分项报价表(服务).docx 投标函 残疾人福利性单位声明函 服务方案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（1）报价唯一；（2）报价货币符合招标文件要求 ；（3）报价不得超过第二章“供应商须知”前附表规定的采购预算金额或最高限价。</w:t>
            </w:r>
          </w:p>
        </w:tc>
        <w:tc>
          <w:tcPr>
            <w:tcW w:type="dxa" w:w="1661"/>
          </w:tcPr>
          <w:p>
            <w:pPr>
              <w:pStyle w:val="null3"/>
            </w:pPr>
            <w:r>
              <w:rPr>
                <w:rFonts w:ascii="仿宋_GB2312" w:hAnsi="仿宋_GB2312" w:cs="仿宋_GB2312" w:eastAsia="仿宋_GB2312"/>
              </w:rPr>
              <w:t>投标函 标的清单 分项报价表(服务).docx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开标一览表 法定代表人身份证明及法定代表人授权委托书.docx 服务内容及服务邀请应答表 中小企业声明函 商务应答表 投标人应提交的相关资格证明材料 分项报价表(服务).docx 投标函 残疾人福利性单位声明函 服务方案 业绩证明材料.docx 标的清单 投标文件封面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按照采购项目全部商务要求逐条响应，且不可负偏离，否则视为无效投标。</w:t>
            </w:r>
          </w:p>
        </w:tc>
        <w:tc>
          <w:tcPr>
            <w:tcW w:type="dxa" w:w="1661"/>
          </w:tcPr>
          <w:p>
            <w:pPr>
              <w:pStyle w:val="null3"/>
            </w:pPr>
            <w:r>
              <w:rPr>
                <w:rFonts w:ascii="仿宋_GB2312" w:hAnsi="仿宋_GB2312" w:cs="仿宋_GB2312" w:eastAsia="仿宋_GB2312"/>
              </w:rPr>
              <w:t>开标一览表 法定代表人身份证明及法定代表人授权委托书.docx 服务内容及服务邀请应答表 中小企业声明函 商务应答表 投标人应提交的相关资格证明材料 分项报价表(服务).docx 投标函 残疾人福利性单位声明函 服务方案 业绩证明材料.docx 标的清单 投标文件封面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需求分析</w:t>
            </w:r>
          </w:p>
        </w:tc>
        <w:tc>
          <w:tcPr>
            <w:tcW w:type="dxa" w:w="2492"/>
          </w:tcPr>
          <w:p>
            <w:pPr>
              <w:pStyle w:val="null3"/>
            </w:pPr>
            <w:r>
              <w:rPr>
                <w:rFonts w:ascii="仿宋_GB2312" w:hAnsi="仿宋_GB2312" w:cs="仿宋_GB2312" w:eastAsia="仿宋_GB2312"/>
              </w:rPr>
              <w:t>供应商针对本项目提供需求分析，内容包括但不限于①对本项目工作内容的理解；②项目背景分析。 方案内容全面详细、阐述条理清晰、针对性强，科学合理。 每项满分3分，缺项不得分，每有一项内容存在瑕疵，扣0.5-2.5分。 “瑕疵”指内容明显错误，或内容表述前后矛盾或内容不完整或表达简单笼统或缺少关键点，或不适用本项目特性、套用其他项目内容或内容不能满足本项目实际需求等任意一种情形。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整体技术方案</w:t>
            </w:r>
          </w:p>
        </w:tc>
        <w:tc>
          <w:tcPr>
            <w:tcW w:type="dxa" w:w="2492"/>
          </w:tcPr>
          <w:p>
            <w:pPr>
              <w:pStyle w:val="null3"/>
            </w:pPr>
            <w:r>
              <w:rPr>
                <w:rFonts w:ascii="仿宋_GB2312" w:hAnsi="仿宋_GB2312" w:cs="仿宋_GB2312" w:eastAsia="仿宋_GB2312"/>
              </w:rPr>
              <w:t>一、评审内容 提出针对于本项目的工作计划总体方案，方案内容至少包含 ①服务总体设想及目标②国土变更调查工作流程③编写县级土地利用变化情况分析报告④更新县级国土调查数据库，形成年度国土变更调查成果⑤完成耕地资源分区分类评价更新⑥成果提交方案 二、评审标准 1、完整性：方案须全面，对评审内容中的各项要求有详细描述及说明； 2、可实施性：切合本项目实际情况，实施步骤清晰、合理； 3、针对性：方案能够紧扣项目实际情况，内容科学合理。 三、赋分标准(满分18分) ①服务总体设想及目标：每完全满足一项评审标准得1分，每基本满足一项评审标准得0.5分，其他得0分，本项满分3分； ②国土变更调查工作流程：每完全满足一项评审标准得1分，每基本满足一项评审标准得0.5分，其他得0分，本项满分3分； ③编写县级土地利用变化情况分析报告：每完全满足一项评审标准得1分，每基本满足一项评审标准得0.5分，其他得0分，本项满分3分； ④更新县级国土调查数据库，形成年度国土变更调查成果：每完全满足一项评审标准得1分，每基本满足一项评审标准得0.5分，其他得0分，本项满分3分；⑤完成耕地资源分区分类评价更新：每完全满足一项评审标准得1分，每基本满足一项评审标准得0.5分，其他得0分，本项满分3分；⑥成果提交方案：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一、评审内容 针对本项目提出的质量控制方案，方案内容至少包含 ①质量目标②项目质量管理制度③质量保障措施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三、赋分标准(满分9分) ①质量目标：每完全满足一项评审标准得1分，每基本满足一项评审标准得0.5分，其他得0分，本项满分3分； ②项目质量管理制度：每完全满足一项评审标准得1分，每基本满足一项评审标准得0.5分，其他得0分，本项满分3分；③质量保障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进度控制方案</w:t>
            </w:r>
          </w:p>
        </w:tc>
        <w:tc>
          <w:tcPr>
            <w:tcW w:type="dxa" w:w="2492"/>
          </w:tcPr>
          <w:p>
            <w:pPr>
              <w:pStyle w:val="null3"/>
            </w:pPr>
            <w:r>
              <w:rPr>
                <w:rFonts w:ascii="仿宋_GB2312" w:hAnsi="仿宋_GB2312" w:cs="仿宋_GB2312" w:eastAsia="仿宋_GB2312"/>
              </w:rPr>
              <w:t>一、评审内容 针对本项目提出的进度控制方案，方案内容包含 ①项目进度安排②项目进度控制措施。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①项目进度安排：每完全满足一项评审标准得1分，每基本满足一项评审标准得0.5分，其他得0分，本项满分3分； ②项目进度控制措施：每完全满足一项评审标准得1分，每基本满足一项评审标准得0.5分，其他得0分，本项满分3分。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除项目负责人外，其他项目组成人员每有1名土地、规划、测绘、地理信息等专业中级职称人员或中级以上职称得1分，最高得8分。 (以上所有人员须提供在开标截止时间前六个月内任意一个月的社会保险缴纳证明及证书复印件，退休人员需提供聘用合同)</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项目团队配备方案</w:t>
            </w:r>
          </w:p>
        </w:tc>
        <w:tc>
          <w:tcPr>
            <w:tcW w:type="dxa" w:w="2492"/>
          </w:tcPr>
          <w:p>
            <w:pPr>
              <w:pStyle w:val="null3"/>
            </w:pPr>
            <w:r>
              <w:rPr>
                <w:rFonts w:ascii="仿宋_GB2312" w:hAnsi="仿宋_GB2312" w:cs="仿宋_GB2312" w:eastAsia="仿宋_GB2312"/>
              </w:rPr>
              <w:t>一、评审内容 针对本项目提供①组织机构框架、岗位职责分工方案 ②服务团队的人员配备方案 二、评审标准 1、完整性：内容必须全面，对评审内容中的各项要求有详细描述； 2、合理性：切合项目具体情况，提出责任明确、要求具体的方案； 3、针对性：内容能够紧扣项目实际情况，内容科学合理。 三、赋分标准(满分6分) ①组织机构框架、岗位职责分工方案：每完全满足一个评审标准得1分，每基本满足一项评审标准得0.5分，其他得0分，本项满分3分； ②服务团队的人员配备方案：每完全满足一个评审标准得1分，每基本满足一项评审标准得0.5分，其他得0分，本项满分3分。(以上所有人员须提供在开标截止时间前六个月内任意一个月的社会保险缴纳证明及证书复印件，退休人员需提供聘用合同)</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拟投入的设备</w:t>
            </w:r>
          </w:p>
        </w:tc>
        <w:tc>
          <w:tcPr>
            <w:tcW w:type="dxa" w:w="2492"/>
          </w:tcPr>
          <w:p>
            <w:pPr>
              <w:pStyle w:val="null3"/>
            </w:pPr>
            <w:r>
              <w:rPr>
                <w:rFonts w:ascii="仿宋_GB2312" w:hAnsi="仿宋_GB2312" w:cs="仿宋_GB2312" w:eastAsia="仿宋_GB2312"/>
              </w:rPr>
              <w:t>一、评审内容 根据本项目采购需求，制定设备配置方案，内容包括但不限于：设备投入计划（提供设备发票或合同复印件）。 二、评审标准 1、完整性：内容必须全面，对评审内容中的各项要求有详细描述； 2、合理性：切合项目具体情况，提出责任明确、要求具体的方案； 3、针对性：内容能够紧扣项目实际情况，内容科学合理。 三、赋分标准(满分6分)设备投入计划（提供设备发票或合同复印件）： 每完全满足一个评审标准得2分，每基本满足一项评审标准得1分，其他得0分。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一、评审内容 针对本项目各调查内容及各成果提交阶段范围内产生的资料，提供档案管理内容包含 ①项目保密制度②项目保管措施 二、评审标准 1、完整性：内容必须全面，对评审内容中的各项要求有详细描述； 2、合理性：切合项目具体情况，提出责任明确、要求具体的方案； 3、针对性：内容能够紧扣项目实际情况，内容科学合理。 三、赋分标准(满分6分)①项目保密制度：每完全满足一个评审标准得1分，每基本满足一项评审标准得0.5分，其他得0分，本项满分3分； ②项目保密措施：每完全满足一个评审标准得1分，每基本满足一项评审标准得0.5分，其他得0分，本项满分3分；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项目重难点分析</w:t>
            </w:r>
          </w:p>
        </w:tc>
        <w:tc>
          <w:tcPr>
            <w:tcW w:type="dxa" w:w="2492"/>
          </w:tcPr>
          <w:p>
            <w:pPr>
              <w:pStyle w:val="null3"/>
            </w:pPr>
            <w:r>
              <w:rPr>
                <w:rFonts w:ascii="仿宋_GB2312" w:hAnsi="仿宋_GB2312" w:cs="仿宋_GB2312" w:eastAsia="仿宋_GB2312"/>
              </w:rPr>
              <w:t>一、评审内容 针对本项目提出重难点分析和解决措施，方案内容包含 ①项目重难点分析②项目重难点解决措施。 二、评审标准 1、完整性：方案全面，梳理出项目关键点，并给出控制策略，对评审内容中的各项要求有详细描述及说明； 2、可实施性：切合本项目实际情况，实施步骤清晰、合理； 3、针对性：方案能够紧扣项目实际情况，内容科学合理。 三、赋分标准(满分6分) ①项目重难点分析：每完全满足一项评审标准得1分，每基本满足一项评审标准得0.5分，其他得0分，本项满分3分； ②项目重难点解决措施：每完全满足一项评审标准得1分，每基本满足一项评审标准得0.5分，其他得0分，本项满分3分。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合理化建议及服务承诺</w:t>
            </w:r>
          </w:p>
        </w:tc>
        <w:tc>
          <w:tcPr>
            <w:tcW w:type="dxa" w:w="2492"/>
          </w:tcPr>
          <w:p>
            <w:pPr>
              <w:pStyle w:val="null3"/>
            </w:pPr>
            <w:r>
              <w:rPr>
                <w:rFonts w:ascii="仿宋_GB2312" w:hAnsi="仿宋_GB2312" w:cs="仿宋_GB2312" w:eastAsia="仿宋_GB2312"/>
              </w:rPr>
              <w:t>根据项目需求针对整个项目提出：①合理化建议②服务承诺；二、评审标准 1、完整性：内容必须全面，对评审内容中的各项要求有详细描述； 2、合理性：切合项目具体情况，提出责任明确、要求具体的方案； 3、针对性：内容能够紧扣项目实际情况，内容科学合理。 三、赋分标准(满分6分)①合理化建议：每完全满足一个评审标准得1分，每基本满足一项评审标准得0.5分，其他得0分，本项满分3分； ②服务承诺：每完全满足一个评审标准得1分，每基本满足一项评审标准得0.5分，其他得0分，本项满分3分；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供应商2023年1月1日至今同类项目业绩，每提供1份得2分，最高得8分；业绩证明（以合同或中标通知书为准，须在投标文件中附合同或中标通知书的扫描件加盖单位公章）弄虚作假者，取消其中标资格。</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招标文件要求的且投标报价最低的为评标基准价，其投标报价得分为满分。供应商的投标报价得分，统一按照下列公式计算： 报价得分=(评标基准价/投标报价)×15（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分项报价表(服务).docx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详见附件：分项报价表(服务).docx</w:t>
      </w:r>
    </w:p>
    <w:p>
      <w:pPr>
        <w:pStyle w:val="null3"/>
        <w:ind w:firstLine="960"/>
      </w:pPr>
      <w:r>
        <w:rPr>
          <w:rFonts w:ascii="仿宋_GB2312" w:hAnsi="仿宋_GB2312" w:cs="仿宋_GB2312" w:eastAsia="仿宋_GB2312"/>
        </w:rPr>
        <w:t>详见附件：法定代表人身份证明及法定代表人授权委托书.docx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详见附件：服务合同样本（三方）.docx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