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版本号：JZDCG-2025-05320251229001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韦庄镇学校2025年线路改造提升项目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JZDCG-2025-053</w:t>
      </w:r>
      <w:r>
        <w:br/>
      </w:r>
      <w:r>
        <w:br/>
      </w:r>
      <w:r>
        <w:br/>
      </w:r>
    </w:p>
    <w:p>
      <w:pPr>
        <w:pStyle w:val="null3"/>
        <w:jc w:val="center"/>
        <w:outlineLvl w:val="2"/>
      </w:pPr>
      <w:r>
        <w:rPr>
          <w:rFonts w:ascii="仿宋_GB2312" w:hAnsi="仿宋_GB2312" w:cs="仿宋_GB2312" w:eastAsia="仿宋_GB2312"/>
          <w:sz w:val="28"/>
          <w:b/>
        </w:rPr>
        <w:t>澄城县韦庄镇学校</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澄城县韦庄镇学校</w:t>
      </w:r>
      <w:r>
        <w:rPr>
          <w:rFonts w:ascii="仿宋_GB2312" w:hAnsi="仿宋_GB2312" w:cs="仿宋_GB2312" w:eastAsia="仿宋_GB2312"/>
        </w:rPr>
        <w:t>委托，拟对</w:t>
      </w:r>
      <w:r>
        <w:rPr>
          <w:rFonts w:ascii="仿宋_GB2312" w:hAnsi="仿宋_GB2312" w:cs="仿宋_GB2312" w:eastAsia="仿宋_GB2312"/>
        </w:rPr>
        <w:t>韦庄镇学校2025年线路改造提升项目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韦庄镇学校2025年线路改造提升项目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拆除校园内旧线路及旧电杆，重栽新电杆并架新线路，同时改造配电室、教学楼等室内照明设施。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采购包1（韦庄镇学校2025年线路改造提升项目）：属于专门面向中小企业采购。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06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3、税收缴纳证明：自2025年06月01日以来已缴存的至少一个月的纳税证明或完税证明，纳税证明或完税证明上应有代收机构或税务机关的公章或业务专用章。依法免税的投标人应提供相关文件证明；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投标人；投标人需在项目电子化交易系统中按要求上传相应证明文件并进行电子签章；</w:t>
      </w:r>
    </w:p>
    <w:p>
      <w:pPr>
        <w:pStyle w:val="null3"/>
      </w:pPr>
      <w:r>
        <w:rPr>
          <w:rFonts w:ascii="仿宋_GB2312" w:hAnsi="仿宋_GB2312" w:cs="仿宋_GB2312" w:eastAsia="仿宋_GB2312"/>
        </w:rPr>
        <w:t>5、法定代表人授权委托书：法定代表人参加磋商的，须提供法定代表人身份证明书；法定代表人授权他人参加磋商的，须提供法定代表人委托授权书；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8、企业资质要求：须具备电力工程施工总承包三级及以上资质或输变电工程专业承包三级及以上资质并同时具备电力监管部门批准的《承装、(修、试)电力设施许可证》承装、承试三级及以上资质； 安全生产许可证合格有效；</w:t>
      </w:r>
    </w:p>
    <w:p>
      <w:pPr>
        <w:pStyle w:val="null3"/>
      </w:pPr>
      <w:r>
        <w:rPr>
          <w:rFonts w:ascii="仿宋_GB2312" w:hAnsi="仿宋_GB2312" w:cs="仿宋_GB2312" w:eastAsia="仿宋_GB2312"/>
        </w:rPr>
        <w:t>9、拟派项目负责人：拟派项目经理必须具备机电工程专业二级及以上注册建造师资格，具备合格有效的安全生产考核合格证书（安B证），且未担任其他在建工程项目的项目经理；</w:t>
      </w:r>
    </w:p>
    <w:p>
      <w:pPr>
        <w:pStyle w:val="null3"/>
      </w:pPr>
      <w:r>
        <w:rPr>
          <w:rFonts w:ascii="仿宋_GB2312" w:hAnsi="仿宋_GB2312" w:cs="仿宋_GB2312" w:eastAsia="仿宋_GB2312"/>
        </w:rPr>
        <w:t>10、本项目不接受联合体磋商：提供非联合体声明。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澄城县韦庄镇学校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澄城县韦庄镇街道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姚志龙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13709133466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采购包1：1,066,037.85元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和国家发改委办公厅颁发的《关于招标代理服务收费有关问题的通知》（发改办价格【2003】857号）文件为计算依据计取。 2、代理服务费的交纳方式：由成交人在领取成交通知书前向采购代理机构一次性支付；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澄城县韦庄镇学校</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澄城县韦庄镇学校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澄城县韦庄镇学校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1,066,037.85</w:t>
      </w:r>
    </w:p>
    <w:p>
      <w:pPr>
        <w:pStyle w:val="null3"/>
      </w:pPr>
      <w:r>
        <w:rPr>
          <w:rFonts w:ascii="仿宋_GB2312" w:hAnsi="仿宋_GB2312" w:cs="仿宋_GB2312" w:eastAsia="仿宋_GB2312"/>
        </w:rPr>
        <w:t>采购包最高限价（元）: 1,066,037.85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韦庄镇学校2025年线路改造提升项目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1,066,037.85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标的名称：韦庄镇学校2025年线路改造提升项目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一、工程概况</w:t>
            </w:r>
          </w:p>
          <w:p>
            <w:pPr>
              <w:pStyle w:val="null3"/>
            </w:pPr>
            <w:r>
              <w:rPr>
                <w:rFonts w:ascii="仿宋_GB2312" w:hAnsi="仿宋_GB2312" w:cs="仿宋_GB2312" w:eastAsia="仿宋_GB2312"/>
              </w:rPr>
              <w:t>1、建设单位：澄城县韦庄镇学校；</w:t>
            </w:r>
          </w:p>
          <w:p>
            <w:pPr>
              <w:pStyle w:val="null3"/>
            </w:pPr>
            <w:r>
              <w:rPr>
                <w:rFonts w:ascii="仿宋_GB2312" w:hAnsi="仿宋_GB2312" w:cs="仿宋_GB2312" w:eastAsia="仿宋_GB2312"/>
              </w:rPr>
              <w:t>2、建设地点：渭南市澄城县韦庄镇；</w:t>
            </w:r>
          </w:p>
          <w:p>
            <w:pPr>
              <w:pStyle w:val="null3"/>
            </w:pPr>
            <w:r>
              <w:rPr>
                <w:rFonts w:ascii="仿宋_GB2312" w:hAnsi="仿宋_GB2312" w:cs="仿宋_GB2312" w:eastAsia="仿宋_GB2312"/>
              </w:rPr>
              <w:t>3、工程概况：本工程为韦庄镇学校2025年线路改造提升项目，主要内容为拆除校园内旧线路及旧电杆，重栽新电杆并架新线路，同时改造配电室、教学楼等室内照明设施；</w:t>
            </w:r>
          </w:p>
          <w:p>
            <w:pPr>
              <w:pStyle w:val="null3"/>
            </w:pPr>
            <w:r>
              <w:rPr>
                <w:rFonts w:ascii="仿宋_GB2312" w:hAnsi="仿宋_GB2312" w:cs="仿宋_GB2312" w:eastAsia="仿宋_GB2312"/>
              </w:rPr>
              <w:t>4、合同履行期限（工期）：自合同签订之日起45个日历日内完成；</w:t>
            </w:r>
          </w:p>
          <w:p>
            <w:pPr>
              <w:pStyle w:val="null3"/>
            </w:pPr>
            <w:r>
              <w:rPr>
                <w:rFonts w:ascii="仿宋_GB2312" w:hAnsi="仿宋_GB2312" w:cs="仿宋_GB2312" w:eastAsia="仿宋_GB2312"/>
                <w:b/>
              </w:rPr>
              <w:t>二、质量标准</w:t>
            </w:r>
          </w:p>
          <w:p>
            <w:pPr>
              <w:pStyle w:val="null3"/>
            </w:pPr>
            <w:r>
              <w:rPr>
                <w:rFonts w:ascii="仿宋_GB2312" w:hAnsi="仿宋_GB2312" w:cs="仿宋_GB2312" w:eastAsia="仿宋_GB2312"/>
              </w:rPr>
              <w:t>1、工程质量必须达到：达到国家现行施工验收规范“合格”标准并满足电力建设工程质量监督管理暂行规定；</w:t>
            </w:r>
          </w:p>
          <w:p>
            <w:pPr>
              <w:pStyle w:val="null3"/>
            </w:pPr>
            <w:r>
              <w:rPr>
                <w:rFonts w:ascii="仿宋_GB2312" w:hAnsi="仿宋_GB2312" w:cs="仿宋_GB2312" w:eastAsia="仿宋_GB2312"/>
              </w:rPr>
              <w:t>2、如工程质量达不到约定条件的部分，一经发现。可要求中标人返工，直至达到合同约定条件，并由中标人承担返工费用。经两次以上返工后仍达不到约定标准，采购人有权终止中标人继续施工资格，并拒付中标人已完工项目工程款；</w:t>
            </w:r>
          </w:p>
          <w:p>
            <w:pPr>
              <w:pStyle w:val="null3"/>
            </w:pPr>
            <w:r>
              <w:rPr>
                <w:rFonts w:ascii="仿宋_GB2312" w:hAnsi="仿宋_GB2312" w:cs="仿宋_GB2312" w:eastAsia="仿宋_GB2312"/>
              </w:rPr>
              <w:t>3、工程保修期：按照《建设工程质量管理条例》执行；</w:t>
            </w:r>
          </w:p>
          <w:p>
            <w:pPr>
              <w:pStyle w:val="null3"/>
            </w:pPr>
            <w:r>
              <w:rPr>
                <w:rFonts w:ascii="仿宋_GB2312" w:hAnsi="仿宋_GB2312" w:cs="仿宋_GB2312" w:eastAsia="仿宋_GB2312"/>
              </w:rPr>
              <w:t>4、缺陷责任期：自竣工验收合格之日起 1 年；</w:t>
            </w:r>
          </w:p>
          <w:p>
            <w:pPr>
              <w:pStyle w:val="null3"/>
            </w:pPr>
            <w:r>
              <w:rPr>
                <w:rFonts w:ascii="仿宋_GB2312" w:hAnsi="仿宋_GB2312" w:cs="仿宋_GB2312" w:eastAsia="仿宋_GB2312"/>
                <w:b/>
              </w:rPr>
              <w:t>三、施工技术规范</w:t>
            </w:r>
          </w:p>
          <w:p>
            <w:pPr>
              <w:pStyle w:val="null3"/>
            </w:pPr>
            <w:r>
              <w:rPr>
                <w:rFonts w:ascii="仿宋_GB2312" w:hAnsi="仿宋_GB2312" w:cs="仿宋_GB2312" w:eastAsia="仿宋_GB2312"/>
              </w:rPr>
              <w:t>1、本项目施工应符合国家有关建设标准强制性条文和国家或有关部门对电力施工等方面现行的标准、规范、规程、定额、办法、示例。</w:t>
            </w:r>
          </w:p>
          <w:p>
            <w:pPr>
              <w:pStyle w:val="null3"/>
            </w:pPr>
            <w:r>
              <w:rPr>
                <w:rFonts w:ascii="仿宋_GB2312" w:hAnsi="仿宋_GB2312" w:cs="仿宋_GB2312" w:eastAsia="仿宋_GB2312"/>
              </w:rPr>
              <w:t>2、成交供应商在施工过程中使用或参考上述标准、规范以外的技术标准、规范时，应征得采购人或采购人指定代表人的同意。</w:t>
            </w:r>
          </w:p>
          <w:p>
            <w:pPr>
              <w:pStyle w:val="null3"/>
            </w:pPr>
            <w:r>
              <w:rPr>
                <w:rFonts w:ascii="仿宋_GB2312" w:hAnsi="仿宋_GB2312" w:cs="仿宋_GB2312" w:eastAsia="仿宋_GB2312"/>
              </w:rPr>
              <w:t>3、在施工过程中，如果国家或有关部门颁布了新的技术标准或规范，则成交供应商应采用新的标准或规范进行施工。</w:t>
            </w:r>
          </w:p>
          <w:p>
            <w:pPr>
              <w:pStyle w:val="null3"/>
            </w:pPr>
            <w:r>
              <w:rPr>
                <w:rFonts w:ascii="仿宋_GB2312" w:hAnsi="仿宋_GB2312" w:cs="仿宋_GB2312" w:eastAsia="仿宋_GB2312"/>
                <w:b/>
              </w:rPr>
              <w:t>四、对成交供应商建设工程施工安全生产、环境保护要求</w:t>
            </w:r>
          </w:p>
          <w:p>
            <w:pPr>
              <w:pStyle w:val="null3"/>
            </w:pPr>
            <w:r>
              <w:rPr>
                <w:rFonts w:ascii="仿宋_GB2312" w:hAnsi="仿宋_GB2312" w:cs="仿宋_GB2312" w:eastAsia="仿宋_GB2312"/>
              </w:rPr>
              <w:t>1、成交供应商应当具备《中华人民共和国安全生产法》和有关法律、法规和国家标准或行业标准规定的安全生产条件。安全操作规程、生产安全制度和具体的安全措施。努力实现“零职业病、零事故、零污染”的安全环保生产业绩目标。</w:t>
            </w:r>
          </w:p>
          <w:p>
            <w:pPr>
              <w:pStyle w:val="null3"/>
            </w:pPr>
            <w:r>
              <w:rPr>
                <w:rFonts w:ascii="仿宋_GB2312" w:hAnsi="仿宋_GB2312" w:cs="仿宋_GB2312" w:eastAsia="仿宋_GB2312"/>
              </w:rPr>
              <w:t>2、遵照预防为主的原则，做到建设工程施工和环境保护并举，推行清洁生产，实现环境污染全过程控制。</w:t>
            </w:r>
          </w:p>
          <w:p>
            <w:pPr>
              <w:pStyle w:val="null3"/>
            </w:pPr>
            <w:r>
              <w:rPr>
                <w:rFonts w:ascii="仿宋_GB2312" w:hAnsi="仿宋_GB2312" w:cs="仿宋_GB2312" w:eastAsia="仿宋_GB2312"/>
              </w:rPr>
              <w:t>3、预防、控制和消除职业危害，保护员工健康，以确保工程项目的安全生产。</w:t>
            </w:r>
          </w:p>
          <w:p>
            <w:pPr>
              <w:pStyle w:val="null3"/>
            </w:pPr>
            <w:r>
              <w:rPr>
                <w:rFonts w:ascii="仿宋_GB2312" w:hAnsi="仿宋_GB2312" w:cs="仿宋_GB2312" w:eastAsia="仿宋_GB2312"/>
              </w:rPr>
              <w:t>4、成交供应商应对在实施作业过程中可能产生的废水、废液或废弃物全部回收或进行无害化处理，防止对水体、土壤和生态植被环境的污染和损害。</w:t>
            </w:r>
          </w:p>
          <w:p>
            <w:pPr>
              <w:pStyle w:val="null3"/>
            </w:pPr>
            <w:r>
              <w:rPr>
                <w:rFonts w:ascii="仿宋_GB2312" w:hAnsi="仿宋_GB2312" w:cs="仿宋_GB2312" w:eastAsia="仿宋_GB2312"/>
              </w:rPr>
              <w:t>5、施工完毕，成交供应商应做到工完料净场地清，恢复现场整洁状态。并消除所造成的环境污染。</w:t>
            </w:r>
          </w:p>
          <w:p>
            <w:pPr>
              <w:pStyle w:val="null3"/>
            </w:pPr>
            <w:r>
              <w:rPr>
                <w:rFonts w:ascii="仿宋_GB2312" w:hAnsi="仿宋_GB2312" w:cs="仿宋_GB2312" w:eastAsia="仿宋_GB2312"/>
                <w:b/>
              </w:rPr>
              <w:t>五、施工材料要求</w:t>
            </w:r>
          </w:p>
          <w:p>
            <w:pPr>
              <w:pStyle w:val="null3"/>
            </w:pPr>
            <w:r>
              <w:rPr>
                <w:rFonts w:ascii="仿宋_GB2312" w:hAnsi="仿宋_GB2312" w:cs="仿宋_GB2312" w:eastAsia="仿宋_GB2312"/>
              </w:rPr>
              <w:t>1、成交供应商供应的材料应按规定按时、按质、按量供应，必须附有产品合格证或质量检验证书才能用于工程。</w:t>
            </w:r>
          </w:p>
          <w:p>
            <w:pPr>
              <w:pStyle w:val="null3"/>
            </w:pPr>
            <w:r>
              <w:rPr>
                <w:rFonts w:ascii="仿宋_GB2312" w:hAnsi="仿宋_GB2312" w:cs="仿宋_GB2312" w:eastAsia="仿宋_GB2312"/>
              </w:rPr>
              <w:t>2、成交供应商所进场的各种原材料、设备必须有出厂合格证书，试验、化验报告单，使用说明，检测、检验报告和设备验收标准。采购人可以随机抽检原材料和设备，并有权对其进行化验、检测（化验、检测的费用由成交供应商承担），不合格的材料、设备不允许进场使用。</w:t>
            </w:r>
          </w:p>
          <w:p>
            <w:pPr>
              <w:pStyle w:val="null3"/>
            </w:pPr>
            <w:r>
              <w:rPr>
                <w:rFonts w:ascii="仿宋_GB2312" w:hAnsi="仿宋_GB2312" w:cs="仿宋_GB2312" w:eastAsia="仿宋_GB2312"/>
              </w:rPr>
              <w:t>3、因材料质量不合格所造成的损失（包括仓库保管费）由材料采购方负责。</w:t>
            </w:r>
          </w:p>
          <w:p>
            <w:pPr>
              <w:pStyle w:val="null3"/>
            </w:pPr>
            <w:r>
              <w:rPr>
                <w:rFonts w:ascii="仿宋_GB2312" w:hAnsi="仿宋_GB2312" w:cs="仿宋_GB2312" w:eastAsia="仿宋_GB2312"/>
              </w:rPr>
              <w:t>4、根据工程需要，经采购人代表签证，成交供应商可使用代用材料。因成交供应商原因使用时，由采购人承担増加的经济支出，因中标人原因使用时，由中标人承担增加的费用。</w:t>
            </w:r>
          </w:p>
          <w:p>
            <w:pPr>
              <w:pStyle w:val="null3"/>
            </w:pPr>
            <w:r>
              <w:rPr>
                <w:rFonts w:ascii="仿宋_GB2312" w:hAnsi="仿宋_GB2312" w:cs="仿宋_GB2312" w:eastAsia="仿宋_GB2312"/>
              </w:rPr>
              <w:t>5、材料供应不及时造成停工待料时，其停、窝工损失由成交供应商承担。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施工应符合国家有关建设标准强制性条文和国家或有关部门对电力工程施工等方面现行的标准、规范、规程、定额、办法、示例。2、中标人在施工过程中使用或参考上述标准、规范以外的技术标准、规范时，应征得采购人或采购人指定代表人的同意。 3、在施工过程中，如果国家或有关部门颁布了新的技术标准或规范，则中标人应采用新的标准或规范进行施工。</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一般资格审查证明材料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或开标前三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供应商需在项目电子化交易系统中按要求填写《响应函》、完成相关承诺并进行电子签章。</w:t>
            </w:r>
          </w:p>
        </w:tc>
        <w:tc>
          <w:tcPr>
            <w:tcW w:type="dxa" w:w="1661"/>
          </w:tcPr>
          <w:p>
            <w:pPr>
              <w:pStyle w:val="null3"/>
            </w:pPr>
            <w:r>
              <w:rPr>
                <w:rFonts w:ascii="仿宋_GB2312" w:hAnsi="仿宋_GB2312" w:cs="仿宋_GB2312" w:eastAsia="仿宋_GB2312"/>
              </w:rPr>
              <w:t>一般资格审查证明材料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06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自2025年06月01日以来已缴存的至少一个月的纳税证明或完税证明，纳税证明或完税证明上应有代收机构或税务机关的公章或业务专用章。依法免税的投标人应提供相关文件证明；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投标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法定代表人参加磋商的，须提供法定代表人身份证明书；法定代表人授权他人参加磋商的，须提供法定代表人委托授权书；</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须具备电力工程施工总承包三级及以上资质或输变电工程专业承包三级及以上资质并同时具备电力监管部门批准的《承装、(修、试)电力设施许可证》承装、承试三级及以上资质； 安全生产许可证合格有效；</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拟派项目经理必须具备机电工程专业二级及以上注册建造师资格，具备合格有效的安全生产考核合格证书（安B证），且未担任其他在建工程项目的项目经理；</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供应商应按格式填写单位名称，文件中的单位名称须和营业执照、公章一致；</w:t>
            </w:r>
          </w:p>
        </w:tc>
        <w:tc>
          <w:tcPr>
            <w:tcW w:type="dxa" w:w="1661"/>
          </w:tcPr>
          <w:p>
            <w:pPr>
              <w:pStyle w:val="null3"/>
            </w:pPr>
            <w:r>
              <w:rPr>
                <w:rFonts w:ascii="仿宋_GB2312" w:hAnsi="仿宋_GB2312" w:cs="仿宋_GB2312" w:eastAsia="仿宋_GB2312"/>
              </w:rPr>
              <w:t>响应文件封面 已标价工程量清单 技术响应偏离表 中小企业声明函 一般资格审查证明材料 报价函 标的清单 特殊资格审查资料 响应函 类似业绩一览表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文件应逐页盖章，有法定代表人（被授权人）签字或盖章处须按要求签字或盖章；</w:t>
            </w:r>
          </w:p>
        </w:tc>
        <w:tc>
          <w:tcPr>
            <w:tcW w:type="dxa" w:w="1661"/>
          </w:tcPr>
          <w:p>
            <w:pPr>
              <w:pStyle w:val="null3"/>
            </w:pPr>
            <w:r>
              <w:rPr>
                <w:rFonts w:ascii="仿宋_GB2312" w:hAnsi="仿宋_GB2312" w:cs="仿宋_GB2312" w:eastAsia="仿宋_GB2312"/>
              </w:rPr>
              <w:t>已标价工程量清单 技术响应偏离表 中小企业声明函 计划开、竣工日期和施工进度网络图 项目管理机构组成 投标方案说明 响应文件封面 劳动力计划表 拟投入本工程的主要施工设备 残疾人福利性单位声明函 一般资格审查证明材料 报价函 标的清单 特殊资格审查资料 响应函 类似业绩一览表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首次只能有一个有效报价，且不能超过本项目采购预算（最高限价）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应符合磋商文件规定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技术响应偏离表 中小企业声明函 计划开、竣工日期和施工进度网络图 项目管理机构组成 投标方案说明 响应文件封面 劳动力计划表 拟投入本工程的主要施工设备 一般资格审查证明材料 报价函 标的清单 特殊资格审查资料 响应函 类似业绩一览表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技术响应偏离表 中小企业声明函 计划开、竣工日期和施工进度网络图 项目管理机构组成 投标方案说明 响应文件封面 劳动力计划表 拟投入本工程的主要施工设备 一般资格审查证明材料 报价函 标的清单 特殊资格审查资料 响应函 类似业绩一览表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1、方案内容完整，针对性强，可实施性强，施工方法得当得8分；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⑩不利于本项目实施的； 3、未提供施工组织方案不得分。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1、技术组织措施详细，进度管理目标明确，工期进度保证措施经济性、合理性、可行性及针对性强得8分；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3、未提供确保工期的技术组织措施方案不得分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1、技术组织措施详细，质量管理目标明确，质量保证承诺全面，质量保证措施经济性、合理性、可行性及针对性强得8分；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3、未提供确保质量的技术组织措施方案不得分。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1、技术措施详细，安全管理目标明确，安全保证措施的经济性、合理性、可行性及针对性强得8分；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3、未提供确保安全生产的技术组织措施方案不得分。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1、措施详细，目标明确，经济型、合理性、可行性及针对性强得8分；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3、未提供确保文明施工的技术组织措施及环境保护措施方案不得分。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项目经理部组成及劳动力配备计划</w:t>
            </w:r>
          </w:p>
        </w:tc>
        <w:tc>
          <w:tcPr>
            <w:tcW w:type="dxa" w:w="2492"/>
          </w:tcPr>
          <w:p>
            <w:pPr>
              <w:pStyle w:val="null3"/>
            </w:pPr>
            <w:r>
              <w:rPr>
                <w:rFonts w:ascii="仿宋_GB2312" w:hAnsi="仿宋_GB2312" w:cs="仿宋_GB2312" w:eastAsia="仿宋_GB2312"/>
              </w:rPr>
              <w:t>1、项目经理部人员及劳动力配备计划合理，分工明确，职责清晰，可实施性强得8分；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3、未提供项目经理部组成及劳动力配备计划不得分。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1、施工材料、设备配备齐全，针对性强，投入计划合理得6分；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3、未提供材料、设备投入计划不得分。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施工进度表及施工现场平面布置图</w:t>
            </w:r>
          </w:p>
        </w:tc>
        <w:tc>
          <w:tcPr>
            <w:tcW w:type="dxa" w:w="2492"/>
          </w:tcPr>
          <w:p>
            <w:pPr>
              <w:pStyle w:val="null3"/>
            </w:pPr>
            <w:r>
              <w:rPr>
                <w:rFonts w:ascii="仿宋_GB2312" w:hAnsi="仿宋_GB2312" w:cs="仿宋_GB2312" w:eastAsia="仿宋_GB2312"/>
              </w:rPr>
              <w:t>1、施工进度表编制完整，整体及各阶段施工进度计划明确、科学合理。施工总平面布置图、平面布置合理，内容齐全，切实可行的得6分；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3、未提供施工进度表及施工现场平面布置图不得分。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1、应急事件考虑周全、预案制定合理，处置措施得当，针对性强得6分；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1、针对项目特点提供切实可行的后续服务承诺。承诺详细全面、指标明确，切实可行得6分； 2、每有下列任意一项瑕疵的扣1分，扣完为止； 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⑦地点区域错误，或项名称错误； ⑧存在不可能实现的夸大情形； ⑨内容简略或简单复制本项目采购需求； ⑩不利于本项目实施； 3、未提供服务承诺不得分。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投标人需提供2022年1月1日以来独立承担过类似项目业绩，每个业绩计2分，最高计8分。 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满足磋商文件要求且最终报价最低的供应商的价格为磋商基准价得20分，其他各供应商的最终报价得分按下列公式计算：（磋商基准价/最终磋商报价）×20％×100。 计算分数时四舍五入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详见附件：项目管理机构组成</w:t>
      </w:r>
    </w:p>
    <w:p>
      <w:pPr>
        <w:pStyle w:val="null3"/>
        <w:ind w:firstLine="960"/>
      </w:pPr>
      <w:r>
        <w:rPr>
          <w:rFonts w:ascii="仿宋_GB2312" w:hAnsi="仿宋_GB2312" w:cs="仿宋_GB2312" w:eastAsia="仿宋_GB2312"/>
        </w:rPr>
        <w:t>详见附件：拟投入本工程的主要施工设备</w:t>
      </w:r>
    </w:p>
    <w:p>
      <w:pPr>
        <w:pStyle w:val="null3"/>
        <w:ind w:firstLine="960"/>
      </w:pPr>
      <w:r>
        <w:rPr>
          <w:rFonts w:ascii="仿宋_GB2312" w:hAnsi="仿宋_GB2312" w:cs="仿宋_GB2312" w:eastAsia="仿宋_GB2312"/>
        </w:rPr>
        <w:t>详见附件：劳动力计划表</w:t>
      </w:r>
    </w:p>
    <w:p>
      <w:pPr>
        <w:pStyle w:val="null3"/>
        <w:ind w:firstLine="960"/>
      </w:pPr>
      <w:r>
        <w:rPr>
          <w:rFonts w:ascii="仿宋_GB2312" w:hAnsi="仿宋_GB2312" w:cs="仿宋_GB2312" w:eastAsia="仿宋_GB2312"/>
        </w:rPr>
        <w:t>详见附件：计划开、竣工日期和施工进度网络图</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