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版本号：CZCZRZY(2025)CBKJL-120251208001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澄城县2025年永久基本农田储备库建立工作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CZCZRZY(2025)CBKJL-1</w:t>
      </w:r>
      <w:r>
        <w:br/>
      </w:r>
      <w:r>
        <w:br/>
      </w:r>
      <w:r>
        <w:br/>
      </w:r>
    </w:p>
    <w:p>
      <w:pPr>
        <w:pStyle w:val="null3"/>
        <w:jc w:val="center"/>
        <w:outlineLvl w:val="2"/>
      </w:pPr>
      <w:r>
        <w:rPr>
          <w:rFonts w:ascii="仿宋_GB2312" w:hAnsi="仿宋_GB2312" w:cs="仿宋_GB2312" w:eastAsia="仿宋_GB2312"/>
          <w:sz w:val="28"/>
          <w:b/>
        </w:rPr>
        <w:t>澄城县自然资源局</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澄城县自然资源局</w:t>
      </w:r>
      <w:r>
        <w:rPr>
          <w:rFonts w:ascii="仿宋_GB2312" w:hAnsi="仿宋_GB2312" w:cs="仿宋_GB2312" w:eastAsia="仿宋_GB2312"/>
        </w:rPr>
        <w:t>委托，拟对</w:t>
      </w:r>
      <w:r>
        <w:rPr>
          <w:rFonts w:ascii="仿宋_GB2312" w:hAnsi="仿宋_GB2312" w:cs="仿宋_GB2312" w:eastAsia="仿宋_GB2312"/>
        </w:rPr>
        <w:t>澄城县2025年永久基本农田储备库建立工作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CZCZRZY(2025)CBKJL-1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澄城县2025年永久基本农田储备库建立工作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完成澄城县永久基本农田储备库划定方案编制、数据库建立，通过自然资源主管部门核查。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采购包1（澄城县2025年永久基本农田储备库建立工作）：属于专门面向中小企业采购。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p>
      <w:pPr>
        <w:pStyle w:val="null3"/>
      </w:pPr>
      <w:r>
        <w:rPr>
          <w:rFonts w:ascii="仿宋_GB2312" w:hAnsi="仿宋_GB2312" w:cs="仿宋_GB2312" w:eastAsia="仿宋_GB2312"/>
        </w:rPr>
        <w:t>8、供应商资质：供应商须具备行政主管部门颁发的土地规划或测绘乙级及以上资质；</w:t>
      </w:r>
    </w:p>
    <w:p>
      <w:pPr>
        <w:pStyle w:val="null3"/>
      </w:pPr>
      <w:r>
        <w:rPr>
          <w:rFonts w:ascii="仿宋_GB2312" w:hAnsi="仿宋_GB2312" w:cs="仿宋_GB2312" w:eastAsia="仿宋_GB2312"/>
        </w:rPr>
        <w:t>9、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10、非联合体投标：本项目不接受联合体投标;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澄城县古徵街七路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0913-6866813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澄城县自然资源局</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形成一套标准化的永久基本农田储备库数据库，具备全面详实的技术报告，确保成果可应用、可核查。数据库通过质量检查，合格率达到100%，并接入"陕西省耕地、永久基本农田和高标准农田一体化管理平台"，实现了省、市、县三级数据共享和动态更新。</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澄城县自然资源局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澄城县自然资源局</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澄城县自然资源局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联系电话：0913-6866813</w:t>
      </w:r>
    </w:p>
    <w:p>
      <w:pPr>
        <w:pStyle w:val="null3"/>
      </w:pPr>
      <w:r>
        <w:rPr>
          <w:rFonts w:ascii="仿宋_GB2312" w:hAnsi="仿宋_GB2312" w:cs="仿宋_GB2312" w:eastAsia="仿宋_GB2312"/>
        </w:rPr>
        <w:t>地址：澄城县自然资源局</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完成澄城县永久基本农田储备库划定方案编制、数据库建立，通过自然资源主管部门核查。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澄城县2025年永久基本农田储备库建立工作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标的名称：澄城县2025年永久基本农田储备库建立工作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一、服务指标的具体要求</w:t>
            </w:r>
          </w:p>
          <w:p>
            <w:pPr>
              <w:pStyle w:val="null3"/>
              <w:ind w:firstLine="643"/>
              <w:jc w:val="both"/>
            </w:pPr>
            <w:r>
              <w:rPr>
                <w:rFonts w:ascii="仿宋_GB2312" w:hAnsi="仿宋_GB2312" w:cs="仿宋_GB2312" w:eastAsia="仿宋_GB2312"/>
                <w:sz w:val="32"/>
                <w:b/>
              </w:rPr>
              <w:t>1、服务项目概况</w:t>
            </w:r>
            <w:r>
              <w:rPr>
                <w:rFonts w:ascii="仿宋_GB2312" w:hAnsi="仿宋_GB2312" w:cs="仿宋_GB2312" w:eastAsia="仿宋_GB2312"/>
                <w:sz w:val="32"/>
              </w:rPr>
              <w:t>：依据《陕西省自然资源厅</w:t>
            </w:r>
            <w:r>
              <w:rPr>
                <w:rFonts w:ascii="仿宋_GB2312" w:hAnsi="仿宋_GB2312" w:cs="仿宋_GB2312" w:eastAsia="仿宋_GB2312"/>
                <w:sz w:val="32"/>
              </w:rPr>
              <w:t>陕西省农业农村厅关于建立全省永久基本农田储备库制度及有关工作的通知》（陕自然资发〔</w:t>
            </w:r>
            <w:r>
              <w:rPr>
                <w:rFonts w:ascii="仿宋_GB2312" w:hAnsi="仿宋_GB2312" w:cs="仿宋_GB2312" w:eastAsia="仿宋_GB2312"/>
                <w:sz w:val="32"/>
              </w:rPr>
              <w:t>2025〕838号）、《陕西省自然资源厅关于做好建立永久基本农田储备库有关工作的通知》（陕自然资耕函〔2025〕899号）文件要求，结合澄城县实际情况，制定了澄城县永久基本农田储备库建立方案。旨在通过科学规划，严格落实耕地保护制度，优化农田布局结构，将地块集中连片、基础设施完善等优质耕地及时纳入永久基本农田储备库，深化耕地、永久基本农田和高标准农田一体化管理机制，推动澄城县农业现代化进程与区域经济协调发展。</w:t>
            </w:r>
          </w:p>
          <w:p>
            <w:pPr>
              <w:pStyle w:val="null3"/>
              <w:ind w:firstLine="640"/>
              <w:jc w:val="both"/>
            </w:pPr>
            <w:r>
              <w:rPr>
                <w:rFonts w:ascii="仿宋_GB2312" w:hAnsi="仿宋_GB2312" w:cs="仿宋_GB2312" w:eastAsia="仿宋_GB2312"/>
                <w:sz w:val="32"/>
              </w:rPr>
              <w:t>为守牢守好永久基本农田保护红线，将符合要求的优质耕地筛选出来，建立永久基本农田储备库，满足一定时期重大建设项目占用及永久基本农田保护红线优化调整的需求，建立耕地保护的正向激励机制；确保永久基本农田数量不减、质量不降、布局优化，有利于实现耕地资源的精细化管理和可持续利用。</w:t>
            </w:r>
          </w:p>
          <w:p>
            <w:pPr>
              <w:pStyle w:val="null3"/>
              <w:ind w:firstLine="640"/>
              <w:jc w:val="both"/>
            </w:pPr>
            <w:r>
              <w:rPr>
                <w:rFonts w:ascii="仿宋_GB2312" w:hAnsi="仿宋_GB2312" w:cs="仿宋_GB2312" w:eastAsia="仿宋_GB2312"/>
                <w:sz w:val="32"/>
              </w:rPr>
              <w:t>结合国土变更调查、高标准农田建设、全域土地综合整治、生态修复治理等工作，将地块集中连片、基础设施完善等优质耕地及时纳入永久基本农田储备库，作为重大建设项目占用或保护红线调整的主要补划来源。</w:t>
            </w:r>
          </w:p>
          <w:p>
            <w:pPr>
              <w:pStyle w:val="null3"/>
              <w:ind w:firstLine="301"/>
              <w:jc w:val="left"/>
            </w:pPr>
            <w:r>
              <w:rPr>
                <w:rFonts w:ascii="仿宋_GB2312" w:hAnsi="仿宋_GB2312" w:cs="仿宋_GB2312" w:eastAsia="仿宋_GB2312"/>
                <w:sz w:val="30"/>
                <w:b/>
              </w:rPr>
              <w:t>2、服务内容：</w:t>
            </w:r>
          </w:p>
          <w:p>
            <w:pPr>
              <w:pStyle w:val="null3"/>
              <w:ind w:firstLine="640"/>
              <w:jc w:val="both"/>
            </w:pPr>
            <w:r>
              <w:rPr>
                <w:rFonts w:ascii="仿宋_GB2312" w:hAnsi="仿宋_GB2312" w:cs="仿宋_GB2312" w:eastAsia="仿宋_GB2312"/>
                <w:sz w:val="32"/>
              </w:rPr>
              <w:t>按照《耕地质量等级》（</w:t>
            </w:r>
            <w:r>
              <w:rPr>
                <w:rFonts w:ascii="仿宋_GB2312" w:hAnsi="仿宋_GB2312" w:cs="仿宋_GB2312" w:eastAsia="仿宋_GB2312"/>
                <w:sz w:val="32"/>
              </w:rPr>
              <w:t>GB/T33469-2016）要求，储备库内耕地地块，原则上应达到当地高标准农田的耕地质量标准。“优先划入”级别的潜力地块应大于“选择划入”的潜力地块。原则上不低于县域“三区三线”划定永久基本农田保护目标1%的比例建立储备库。</w:t>
            </w:r>
          </w:p>
          <w:p>
            <w:pPr>
              <w:pStyle w:val="null3"/>
              <w:ind w:firstLine="640"/>
              <w:jc w:val="both"/>
            </w:pPr>
            <w:r>
              <w:rPr>
                <w:rFonts w:ascii="仿宋_GB2312" w:hAnsi="仿宋_GB2312" w:cs="仿宋_GB2312" w:eastAsia="仿宋_GB2312"/>
                <w:sz w:val="32"/>
              </w:rPr>
              <w:t>1、分析潜力资源</w:t>
            </w:r>
          </w:p>
          <w:p>
            <w:pPr>
              <w:pStyle w:val="null3"/>
              <w:ind w:firstLine="640"/>
              <w:jc w:val="both"/>
            </w:pPr>
            <w:r>
              <w:rPr>
                <w:rFonts w:ascii="仿宋_GB2312" w:hAnsi="仿宋_GB2312" w:cs="仿宋_GB2312" w:eastAsia="仿宋_GB2312"/>
                <w:sz w:val="32"/>
              </w:rPr>
              <w:t>依据省级在年度国土变更调查耕地地块基础上，结合永久基本农田核实处置成果和其他相关资料，扣除不宜作为建立储备库的耕地。主要包括：一是</w:t>
            </w:r>
            <w:r>
              <w:rPr>
                <w:rFonts w:ascii="仿宋_GB2312" w:hAnsi="仿宋_GB2312" w:cs="仿宋_GB2312" w:eastAsia="仿宋_GB2312"/>
                <w:sz w:val="32"/>
              </w:rPr>
              <w:t>25度以上坡耕地、河道湖区范围内耕地等不稳定耕地；二是饮用水水源一级保护地、生态保护红线、已纳入规划城镇建设用地范围、已取得建设用地批复备案范围、已备案设施农用地范围、已批准的临时用地范围、露天采矿区范围、公益林范围、退耕还林还草范围、天然林保护工程、林业系统现行自然保护地、三北防护林工程、沙化荒漠化监测范围内耕地；三是400平方米以下的孤立碎小耕地；四是国家严格管控类耕地。剩余耕地提取作为储备库潜力地块。</w:t>
            </w:r>
          </w:p>
          <w:p>
            <w:pPr>
              <w:pStyle w:val="null3"/>
              <w:ind w:firstLine="640"/>
              <w:jc w:val="both"/>
            </w:pPr>
            <w:r>
              <w:rPr>
                <w:rFonts w:ascii="仿宋_GB2312" w:hAnsi="仿宋_GB2312" w:cs="仿宋_GB2312" w:eastAsia="仿宋_GB2312"/>
                <w:sz w:val="32"/>
              </w:rPr>
              <w:t>根据提取的储备库潜力地块的坡度、质量、地类、集中连片度等因素对储备库潜力地块进行分级，分为</w:t>
            </w:r>
            <w:r>
              <w:rPr>
                <w:rFonts w:ascii="仿宋_GB2312" w:hAnsi="仿宋_GB2312" w:cs="仿宋_GB2312" w:eastAsia="仿宋_GB2312"/>
                <w:sz w:val="32"/>
              </w:rPr>
              <w:t>“优先划入”、“选择划入”、“限制划入”三个级别，形成永久基本农田潜力地块分级成果。</w:t>
            </w:r>
          </w:p>
          <w:p>
            <w:pPr>
              <w:pStyle w:val="null3"/>
              <w:ind w:firstLine="640"/>
              <w:jc w:val="both"/>
            </w:pPr>
            <w:r>
              <w:rPr>
                <w:rFonts w:ascii="仿宋_GB2312" w:hAnsi="仿宋_GB2312" w:cs="仿宋_GB2312" w:eastAsia="仿宋_GB2312"/>
                <w:sz w:val="32"/>
              </w:rPr>
              <w:t>2、制作调查底图</w:t>
            </w:r>
          </w:p>
          <w:p>
            <w:pPr>
              <w:pStyle w:val="null3"/>
              <w:ind w:firstLine="640"/>
              <w:jc w:val="both"/>
            </w:pPr>
            <w:r>
              <w:rPr>
                <w:rFonts w:ascii="仿宋_GB2312" w:hAnsi="仿宋_GB2312" w:cs="仿宋_GB2312" w:eastAsia="仿宋_GB2312"/>
                <w:sz w:val="32"/>
              </w:rPr>
              <w:t>根据省级下发的潜力地块图斑为基础，市、县级补充搜集适宜和不宜建立储备库的其他资料，对省级制作的储备库潜力地块分级成果进行补充完善，按照储备库数量、质量、区位要求，利用最新遥感影像内业分析，选取拟划入储备库地块，制作外业核实调查底图。</w:t>
            </w:r>
          </w:p>
          <w:p>
            <w:pPr>
              <w:pStyle w:val="null3"/>
              <w:ind w:firstLine="640"/>
              <w:jc w:val="both"/>
            </w:pPr>
            <w:r>
              <w:rPr>
                <w:rFonts w:ascii="仿宋_GB2312" w:hAnsi="仿宋_GB2312" w:cs="仿宋_GB2312" w:eastAsia="仿宋_GB2312"/>
                <w:sz w:val="32"/>
              </w:rPr>
              <w:t>3、实地踏勘核实</w:t>
            </w:r>
          </w:p>
          <w:p>
            <w:pPr>
              <w:pStyle w:val="null3"/>
              <w:ind w:firstLine="640"/>
              <w:jc w:val="both"/>
            </w:pPr>
            <w:r>
              <w:rPr>
                <w:rFonts w:ascii="仿宋_GB2312" w:hAnsi="仿宋_GB2312" w:cs="仿宋_GB2312" w:eastAsia="仿宋_GB2312"/>
                <w:sz w:val="32"/>
              </w:rPr>
              <w:t>我县依据内业分析制作的外业核查底图，对拟划入储备库地块开展逐地块实地核实，核实现状是否为耕地，质量和布局是否符合储备库建立要求，依据内业分析和外业核实成果，编制县级储备库建立方案并上报市级审查论证。</w:t>
            </w:r>
          </w:p>
          <w:p>
            <w:pPr>
              <w:pStyle w:val="null3"/>
              <w:ind w:firstLine="640"/>
              <w:jc w:val="both"/>
            </w:pPr>
            <w:r>
              <w:rPr>
                <w:rFonts w:ascii="仿宋_GB2312" w:hAnsi="仿宋_GB2312" w:cs="仿宋_GB2312" w:eastAsia="仿宋_GB2312"/>
                <w:sz w:val="32"/>
              </w:rPr>
              <w:t>4、建立数据库</w:t>
            </w:r>
          </w:p>
          <w:p>
            <w:pPr>
              <w:pStyle w:val="null3"/>
              <w:ind w:firstLine="640"/>
              <w:jc w:val="both"/>
            </w:pPr>
            <w:r>
              <w:rPr>
                <w:rFonts w:ascii="仿宋_GB2312" w:hAnsi="仿宋_GB2312" w:cs="仿宋_GB2312" w:eastAsia="仿宋_GB2312"/>
                <w:sz w:val="32"/>
              </w:rPr>
              <w:t>依据内外业工作成果和县级储备库建立方案，以县级行政区划为单元，按照技术标准要求，建立储备库数据库，形成规范的矢量数据、统计表格、图件等成果。</w:t>
            </w:r>
          </w:p>
          <w:p>
            <w:pPr>
              <w:pStyle w:val="null3"/>
              <w:ind w:firstLine="640"/>
              <w:jc w:val="both"/>
            </w:pPr>
            <w:r>
              <w:rPr>
                <w:rFonts w:ascii="仿宋_GB2312" w:hAnsi="仿宋_GB2312" w:cs="仿宋_GB2312" w:eastAsia="仿宋_GB2312"/>
                <w:sz w:val="32"/>
              </w:rPr>
              <w:t>5、逐级审核检查</w:t>
            </w:r>
          </w:p>
          <w:p>
            <w:pPr>
              <w:pStyle w:val="null3"/>
              <w:ind w:firstLine="640"/>
              <w:jc w:val="both"/>
            </w:pPr>
            <w:r>
              <w:rPr>
                <w:rFonts w:ascii="仿宋_GB2312" w:hAnsi="仿宋_GB2312" w:cs="仿宋_GB2312" w:eastAsia="仿宋_GB2312"/>
                <w:sz w:val="32"/>
              </w:rPr>
              <w:t>a）县级申报。县级对纳入储备库耕地的规模、质量进行自查，以确保内外业自检达到100%并上报市级申请验收。</w:t>
            </w:r>
          </w:p>
          <w:p>
            <w:pPr>
              <w:pStyle w:val="null3"/>
              <w:ind w:firstLine="640"/>
              <w:jc w:val="both"/>
            </w:pPr>
            <w:r>
              <w:rPr>
                <w:rFonts w:ascii="仿宋_GB2312" w:hAnsi="仿宋_GB2312" w:cs="仿宋_GB2312" w:eastAsia="仿宋_GB2312"/>
                <w:sz w:val="32"/>
              </w:rPr>
              <w:t>b）市级验收。市级对县级成果进行100%全面内业检查，重点检查划定规模是否满足永久基本农田补划需求，耕地质量是否达到部省要求，并抽取不低于储备库地块数15%的比例开展外业检查。根据内外业检查结果，组织开展整改，整改通过后报送省级。</w:t>
            </w:r>
          </w:p>
          <w:p>
            <w:pPr>
              <w:pStyle w:val="null3"/>
              <w:ind w:firstLine="640"/>
              <w:jc w:val="both"/>
            </w:pPr>
            <w:r>
              <w:rPr>
                <w:rFonts w:ascii="仿宋_GB2312" w:hAnsi="仿宋_GB2312" w:cs="仿宋_GB2312" w:eastAsia="仿宋_GB2312"/>
                <w:sz w:val="32"/>
              </w:rPr>
              <w:t>c）省级核查。省级对市级报送的储备库成果进行内业检查，并选取一定比例进行外业核查。检查内容包括建立成果的完整性、规范性、合理性和一致性四个方面。</w:t>
            </w:r>
          </w:p>
          <w:p>
            <w:pPr>
              <w:pStyle w:val="null3"/>
              <w:ind w:firstLine="640"/>
              <w:jc w:val="both"/>
            </w:pPr>
            <w:r>
              <w:rPr>
                <w:rFonts w:ascii="仿宋_GB2312" w:hAnsi="仿宋_GB2312" w:cs="仿宋_GB2312" w:eastAsia="仿宋_GB2312"/>
                <w:sz w:val="32"/>
              </w:rPr>
              <w:t>6、全面汇总分析</w:t>
            </w:r>
          </w:p>
          <w:p>
            <w:pPr>
              <w:pStyle w:val="null3"/>
              <w:ind w:firstLine="640"/>
              <w:jc w:val="both"/>
            </w:pPr>
            <w:r>
              <w:rPr>
                <w:rFonts w:ascii="仿宋_GB2312" w:hAnsi="仿宋_GB2312" w:cs="仿宋_GB2312" w:eastAsia="仿宋_GB2312"/>
                <w:sz w:val="32"/>
              </w:rPr>
              <w:t>依据县级报送的建立成果，通过县、市、省三级核查，对出现的问题进行全面汇总分析。</w:t>
            </w:r>
          </w:p>
          <w:p>
            <w:pPr>
              <w:pStyle w:val="null3"/>
              <w:ind w:firstLine="640"/>
              <w:jc w:val="both"/>
            </w:pPr>
            <w:r>
              <w:rPr>
                <w:rFonts w:ascii="仿宋_GB2312" w:hAnsi="仿宋_GB2312" w:cs="仿宋_GB2312" w:eastAsia="仿宋_GB2312"/>
                <w:sz w:val="33"/>
              </w:rPr>
              <w:t>二、本项目的费用组成表明细</w:t>
            </w:r>
          </w:p>
          <w:tbl>
            <w:tblPr>
              <w:tblBorders>
                <w:top w:val="none" w:color="000000" w:sz="4"/>
                <w:left w:val="none" w:color="000000" w:sz="4"/>
                <w:bottom w:val="none" w:color="000000" w:sz="4"/>
                <w:right w:val="none" w:color="000000" w:sz="4"/>
                <w:insideH w:val="none"/>
                <w:insideV w:val="none"/>
              </w:tblBorders>
            </w:tblPr>
            <w:tblGrid>
              <w:gridCol w:w="178"/>
              <w:gridCol w:w="1076"/>
              <w:gridCol w:w="208"/>
              <w:gridCol w:w="178"/>
              <w:gridCol w:w="912"/>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工作内容</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9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内业空间分析</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省级下发潜力数据，对优先划入的</w:t>
                  </w:r>
                  <w:r>
                    <w:rPr>
                      <w:rFonts w:ascii="仿宋_GB2312" w:hAnsi="仿宋_GB2312" w:cs="仿宋_GB2312" w:eastAsia="仿宋_GB2312"/>
                      <w:sz w:val="21"/>
                      <w:color w:val="000000"/>
                    </w:rPr>
                    <w:t>12426个图斑，面积73896.29亩进行内业核查；</w:t>
                  </w:r>
                  <w:r>
                    <w:rPr>
                      <w:rFonts w:ascii="仿宋_GB2312" w:hAnsi="仿宋_GB2312" w:cs="仿宋_GB2312" w:eastAsia="仿宋_GB2312"/>
                      <w:sz w:val="21"/>
                      <w:color w:val="000000"/>
                    </w:rPr>
                    <w:t>储备库按市局</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要求，我县拟划入</w:t>
                  </w:r>
                  <w:r>
                    <w:rPr>
                      <w:rFonts w:ascii="仿宋_GB2312" w:hAnsi="仿宋_GB2312" w:cs="仿宋_GB2312" w:eastAsia="仿宋_GB2312"/>
                      <w:sz w:val="21"/>
                      <w:color w:val="000000"/>
                    </w:rPr>
                    <w:t>10亩以上图斑1300个，面积</w:t>
                  </w:r>
                  <w:r>
                    <w:rPr>
                      <w:rFonts w:ascii="仿宋_GB2312" w:hAnsi="仿宋_GB2312" w:cs="仿宋_GB2312" w:eastAsia="仿宋_GB2312"/>
                      <w:sz w:val="21"/>
                      <w:color w:val="000000"/>
                    </w:rPr>
                    <w:t>13000</w:t>
                  </w:r>
                  <w:r>
                    <w:rPr>
                      <w:rFonts w:ascii="仿宋_GB2312" w:hAnsi="仿宋_GB2312" w:cs="仿宋_GB2312" w:eastAsia="仿宋_GB2312"/>
                      <w:sz w:val="21"/>
                      <w:color w:val="000000"/>
                    </w:rPr>
                    <w:t>亩。内业分析包括储备库图斑与各镇沟通补划位置筛选图斑工作。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外业核查</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数据库建设</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将下发的</w:t>
                  </w:r>
                  <w:r>
                    <w:rPr>
                      <w:rFonts w:ascii="仿宋_GB2312" w:hAnsi="仿宋_GB2312" w:cs="仿宋_GB2312" w:eastAsia="仿宋_GB2312"/>
                      <w:sz w:val="22"/>
                      <w:color w:val="000000"/>
                    </w:rPr>
                    <w:t>7.</w:t>
                  </w:r>
                  <w:r>
                    <w:rPr>
                      <w:rFonts w:ascii="仿宋_GB2312" w:hAnsi="仿宋_GB2312" w:cs="仿宋_GB2312" w:eastAsia="仿宋_GB2312"/>
                      <w:sz w:val="22"/>
                      <w:color w:val="000000"/>
                    </w:rPr>
                    <w:t>38</w:t>
                  </w:r>
                  <w:r>
                    <w:rPr>
                      <w:rFonts w:ascii="仿宋_GB2312" w:hAnsi="仿宋_GB2312" w:cs="仿宋_GB2312" w:eastAsia="仿宋_GB2312"/>
                      <w:sz w:val="22"/>
                      <w:color w:val="000000"/>
                    </w:rPr>
                    <w:t>万亩图斑进行建库</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建立方案编制</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工作总结报告编制</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表格统计</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达到高标准农田建设质量鉴定报告编制</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亩</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市级验收</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省级核查</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陕西省耕地、永久基本农田、高标准农田一体化平台填报</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rPr>
              <w:t>三、服务质量、标准、期限、效率等要求</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rPr>
              <w:t>本次澄城县永久基本农田储备库建立严格遵守《陕西省自然资源厅</w:t>
            </w:r>
            <w:r>
              <w:rPr>
                <w:rFonts w:ascii="仿宋_GB2312" w:hAnsi="仿宋_GB2312" w:cs="仿宋_GB2312" w:eastAsia="仿宋_GB2312"/>
                <w:sz w:val="32"/>
              </w:rPr>
              <w:t>陕西省农业农村厅关于建立全省永久基本农田储备库制度及有关工作的通知》（陕自然资发〔</w:t>
            </w:r>
            <w:r>
              <w:rPr>
                <w:rFonts w:ascii="仿宋_GB2312" w:hAnsi="仿宋_GB2312" w:cs="仿宋_GB2312" w:eastAsia="仿宋_GB2312"/>
                <w:sz w:val="32"/>
              </w:rPr>
              <w:t>2025〕838号）文件要求划定储备库成果，储备库范围内耕地质量平均等别高，达到澄城县高标准农田的耕地质量标准。</w:t>
            </w:r>
          </w:p>
          <w:p>
            <w:pPr>
              <w:pStyle w:val="null3"/>
              <w:ind w:firstLine="640"/>
              <w:jc w:val="both"/>
            </w:pPr>
            <w:r>
              <w:rPr>
                <w:rFonts w:ascii="仿宋_GB2312" w:hAnsi="仿宋_GB2312" w:cs="仿宋_GB2312" w:eastAsia="仿宋_GB2312"/>
                <w:sz w:val="32"/>
              </w:rPr>
              <w:t>2、所纳入的储备库地块现状均种植粮食类作物，未将文件中提出的位于生态保护红线范围内、依据《土壤污染防治法》列入严格管控类耕地且无法恢复治理、因生产建设或自然灾害严重损毁且不能恢复耕种、河道两岸堤防范围内不适宜或者难以稳定利用、纳入生态退耕还林还草还湖以及还牧范围，且按照计划需要继续退出、坡度大于25度且未采取水土保持措施的坡、已批准或正在办理建设项目、设施农用地、临时用地占用的耕地纳入至澄城县永久基本农田储备库储备库范围中。项目成果征求了澄城县自然资源局各股室、澄城县农业农村局、各镇相关负责人、所涉及储备库范围内村民代表的意见和建议，项目成果合理合规</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3、标准化数据库建设。依据国家及省级相关政策文件标准，建设包含空间信息、属性信息、管理信息等多维一体的永久基本农田储备库专项数据库，确保数据规范、统一、可追溯。</w:t>
            </w:r>
          </w:p>
          <w:p>
            <w:pPr>
              <w:pStyle w:val="null3"/>
              <w:ind w:firstLine="640"/>
              <w:jc w:val="both"/>
            </w:pPr>
            <w:r>
              <w:rPr>
                <w:rFonts w:ascii="仿宋_GB2312" w:hAnsi="仿宋_GB2312" w:cs="仿宋_GB2312" w:eastAsia="仿宋_GB2312"/>
                <w:sz w:val="32"/>
              </w:rPr>
              <w:t>4、服务期限：</w:t>
            </w:r>
            <w:r>
              <w:rPr>
                <w:rFonts w:ascii="仿宋_GB2312" w:hAnsi="仿宋_GB2312" w:cs="仿宋_GB2312" w:eastAsia="仿宋_GB2312"/>
                <w:sz w:val="32"/>
              </w:rPr>
              <w:t>自合同签订之日起</w:t>
            </w:r>
            <w:r>
              <w:rPr>
                <w:rFonts w:ascii="仿宋_GB2312" w:hAnsi="仿宋_GB2312" w:cs="仿宋_GB2312" w:eastAsia="仿宋_GB2312"/>
                <w:sz w:val="32"/>
              </w:rPr>
              <w:t>45日历天</w:t>
            </w:r>
          </w:p>
          <w:p>
            <w:pPr>
              <w:pStyle w:val="null3"/>
              <w:ind w:firstLine="640"/>
              <w:jc w:val="both"/>
            </w:pPr>
            <w:r>
              <w:rPr>
                <w:rFonts w:ascii="仿宋_GB2312" w:hAnsi="仿宋_GB2312" w:cs="仿宋_GB2312" w:eastAsia="仿宋_GB2312"/>
                <w:sz w:val="32"/>
              </w:rPr>
              <w:t>5、服务地点：渭南市</w:t>
            </w:r>
            <w:r>
              <w:rPr>
                <w:rFonts w:ascii="仿宋_GB2312" w:hAnsi="仿宋_GB2312" w:cs="仿宋_GB2312" w:eastAsia="仿宋_GB2312"/>
                <w:sz w:val="32"/>
              </w:rPr>
              <w:t>澄城县</w:t>
            </w:r>
          </w:p>
          <w:p>
            <w:pPr>
              <w:pStyle w:val="null3"/>
              <w:ind w:firstLine="640"/>
              <w:jc w:val="both"/>
            </w:pPr>
            <w:r>
              <w:rPr>
                <w:rFonts w:ascii="仿宋_GB2312" w:hAnsi="仿宋_GB2312" w:cs="仿宋_GB2312" w:eastAsia="仿宋_GB2312"/>
                <w:sz w:val="32"/>
              </w:rPr>
              <w:t>四、付款方式</w:t>
            </w:r>
          </w:p>
          <w:p>
            <w:pPr>
              <w:pStyle w:val="null3"/>
              <w:ind w:firstLine="640"/>
              <w:jc w:val="both"/>
            </w:pPr>
            <w:r>
              <w:rPr>
                <w:rFonts w:ascii="仿宋_GB2312" w:hAnsi="仿宋_GB2312" w:cs="仿宋_GB2312" w:eastAsia="仿宋_GB2312"/>
                <w:sz w:val="32"/>
                <w:color w:val="000000"/>
              </w:rPr>
              <w:t>满足项目要求，提交最终成果后</w:t>
            </w:r>
            <w:r>
              <w:rPr>
                <w:rFonts w:ascii="仿宋_GB2312" w:hAnsi="仿宋_GB2312" w:cs="仿宋_GB2312" w:eastAsia="仿宋_GB2312"/>
                <w:sz w:val="32"/>
                <w:color w:val="000000"/>
              </w:rPr>
              <w:t>15个工作日内一次性完成付款。</w:t>
            </w:r>
          </w:p>
          <w:p>
            <w:pPr>
              <w:pStyle w:val="null3"/>
              <w:ind w:firstLine="640"/>
              <w:jc w:val="both"/>
            </w:pPr>
            <w:r>
              <w:rPr>
                <w:rFonts w:ascii="仿宋_GB2312" w:hAnsi="仿宋_GB2312" w:cs="仿宋_GB2312" w:eastAsia="仿宋_GB2312"/>
                <w:sz w:val="32"/>
              </w:rPr>
              <w:t>五、验收标准</w:t>
            </w:r>
          </w:p>
          <w:p>
            <w:pPr>
              <w:pStyle w:val="null3"/>
              <w:ind w:firstLine="420"/>
              <w:jc w:val="both"/>
            </w:pPr>
            <w:r>
              <w:rPr>
                <w:rFonts w:ascii="仿宋_GB2312" w:hAnsi="仿宋_GB2312" w:cs="仿宋_GB2312" w:eastAsia="仿宋_GB2312"/>
                <w:sz w:val="32"/>
                <w:color w:val="000000"/>
              </w:rPr>
              <w:t>形成一套标准化的永久基本农田储备库数据库，具备全面详实的技术报告，确保成果可应用、可核查。</w:t>
            </w:r>
            <w:r>
              <w:rPr>
                <w:rFonts w:ascii="仿宋_GB2312" w:hAnsi="仿宋_GB2312" w:cs="仿宋_GB2312" w:eastAsia="仿宋_GB2312"/>
                <w:sz w:val="32"/>
              </w:rPr>
              <w:t>数据库通过质量检查，合格率达到</w:t>
            </w:r>
            <w:r>
              <w:rPr>
                <w:rFonts w:ascii="仿宋_GB2312" w:hAnsi="仿宋_GB2312" w:cs="仿宋_GB2312" w:eastAsia="仿宋_GB2312"/>
                <w:sz w:val="32"/>
              </w:rPr>
              <w:t>100%</w:t>
            </w:r>
            <w:r>
              <w:rPr>
                <w:rFonts w:ascii="仿宋_GB2312" w:hAnsi="仿宋_GB2312" w:cs="仿宋_GB2312" w:eastAsia="仿宋_GB2312"/>
                <w:sz w:val="32"/>
              </w:rPr>
              <w:t>，并接入</w:t>
            </w:r>
            <w:r>
              <w:rPr>
                <w:rFonts w:ascii="仿宋_GB2312" w:hAnsi="仿宋_GB2312" w:cs="仿宋_GB2312" w:eastAsia="仿宋_GB2312"/>
                <w:sz w:val="32"/>
              </w:rPr>
              <w:t>"</w:t>
            </w:r>
            <w:r>
              <w:rPr>
                <w:rFonts w:ascii="仿宋_GB2312" w:hAnsi="仿宋_GB2312" w:cs="仿宋_GB2312" w:eastAsia="仿宋_GB2312"/>
                <w:sz w:val="32"/>
              </w:rPr>
              <w:t>陕西省耕地、永久基本农田和高标准农田一体化管理平台</w:t>
            </w:r>
            <w:r>
              <w:rPr>
                <w:rFonts w:ascii="仿宋_GB2312" w:hAnsi="仿宋_GB2312" w:cs="仿宋_GB2312" w:eastAsia="仿宋_GB2312"/>
                <w:sz w:val="32"/>
              </w:rPr>
              <w:t>"</w:t>
            </w:r>
            <w:r>
              <w:rPr>
                <w:rFonts w:ascii="仿宋_GB2312" w:hAnsi="仿宋_GB2312" w:cs="仿宋_GB2312" w:eastAsia="仿宋_GB2312"/>
                <w:sz w:val="32"/>
              </w:rPr>
              <w:t>，实现了省、市、县三级数据共享和动态更新</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渭南市澄城县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形成一套标准化的永久基本农田储备库数据库，具备全面详实的技术报告，确保成果可应用、可核查。数据库通过质量检查，合格率达到100%，并接入"陕西省耕地、永久基本农田和高标准农田一体化管理平台"，实现了省、市、县三级数据共享和动态更新。</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满足项目要求，提交最终成果后15个工作日内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1、本项目属性为服务 。 2、成交供应商在开标结束后3个工作日内向采购代理机构提供纸质版投标（或响应）文件正本1份（内容包括:签字盖章扫描后的PDF版本投标（或响应）文件）。装订：纸质版文件采用书籍（胶装）方式装订成册，与电子投标（或响应）一致的签字、盖章的完整版本。3、本项目所属行业为：其他未列明行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供应商须具备行政主管部门颁发的土地规划或测绘乙级及以上资质；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供应商提供项目的实施方案，内容包含于①工作内容②工作方法③技术要求等进行综合评审。 (1) 实施方案科学严谨、内容全面详细、符合技术标准要求，计20分； (2) 实施方案科学合理、内容全面但描述不够详细、符合技术标准要求，计15分； (3) 实施方案合理，内容全面性不够（缺①至③中任意一项）但描述详细、符合技术标准要求，计10分； (4)实施方案合理，内容全面性不够（缺①至③中任意一项），有具体描述，符合技术标准要求，计5分 (5)实施方案合理，内容全面性不够（缺①至③中任意二项及以上）描述详细，计2分； (6)实施方案合理，内容全面性不够（缺①至③中任意二项及以上）有具体描述，计1分； (7)实施方案只有标题但内容简略或不具备可操作性或不提供，此项不得分。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针对本项目的理解</w:t>
            </w:r>
          </w:p>
        </w:tc>
        <w:tc>
          <w:tcPr>
            <w:tcW w:type="dxa" w:w="2492"/>
          </w:tcPr>
          <w:p>
            <w:pPr>
              <w:pStyle w:val="null3"/>
            </w:pPr>
            <w:r>
              <w:rPr>
                <w:rFonts w:ascii="仿宋_GB2312" w:hAnsi="仿宋_GB2312" w:cs="仿宋_GB2312" w:eastAsia="仿宋_GB2312"/>
              </w:rPr>
              <w:t>供应商对该项目的服务内容进行完整、合理地阐述，有总体的服务方案，按方案完整性、全面性、认知深度和专业性进行评审。 供应商对项目的理解准确深刻，解读层次清晰且全面系统计(10-15]分； 供应商对项目的理解比较准确，对工作任务的解读较为全面系统计 (5-10]分； 供应商对项目的理解有所欠缺，对工作任务的解读不够全面计 [1-5]分；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供应商制定针对本项目的质量保证方案，内容包括但不限于①质量管理体系②质量保障措施③质量控制手段等。 1.质量保证方案全面详细，目标明确，科学合理、针对性强，计10分； 2.质量保证方案全面但描述不够详细，目标明确，科学合理、针对性强，计7分； 3.质量保证方案全面性不够（缺①至③中任意一项）但描述详细，针对性强，计4分； 4.质量保证方案全面性不够（缺①至③中任意一项）有具体描述，计2分； 5.质量保证方案全面性不够（缺①至③中任意二项及以上）但描述详细，计1分； 6.方案只有标题但内容简略或不具备可操作性或不提供，此项不得分。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针对本项目的人员配备</w:t>
            </w:r>
          </w:p>
        </w:tc>
        <w:tc>
          <w:tcPr>
            <w:tcW w:type="dxa" w:w="2492"/>
          </w:tcPr>
          <w:p>
            <w:pPr>
              <w:pStyle w:val="null3"/>
            </w:pPr>
            <w:r>
              <w:rPr>
                <w:rFonts w:ascii="仿宋_GB2312" w:hAnsi="仿宋_GB2312" w:cs="仿宋_GB2312" w:eastAsia="仿宋_GB2312"/>
              </w:rPr>
              <w:t>具有满足本项目编制的专业团队，提供拟派本项目团队人员的详细名单及团队人员在本项目中负责的具体工作职责，根据人员配备数量、工作经验、职责划分合理性等方面，根据响应程度计分。 为本项目配备的人员全面、合理，工作经验丰富、专业性强得(6-9]分； 为本项目配备的人员较全面、较合理，工作经验一般、专业性一般得(3-6]分； 为本项目配备的人员不全面、不合理，工作经验较少、专业性较差得[1-3]分；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 供应商提出的进度安排详细、科学合理、具体可行计(6-9]分； 供应商提出的进度安排粗略、有可行性计(3-6]分； 供应商提出的进度安排、可行性较差计[1-3]分； 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供应商制定针对本项目的设备配备情况，包括但不限于设备数量、设备种类、设备先进性及可靠性等。 1.设备数量能满足采购需求，设备种类齐全且先进可靠，计6分； 2.设备数量能满足采购需求，设备种类有缺失，计3分； 3.设备数量不能满足采购需求，计1分；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数据保密承诺及安全措施</w:t>
            </w:r>
          </w:p>
        </w:tc>
        <w:tc>
          <w:tcPr>
            <w:tcW w:type="dxa" w:w="2492"/>
          </w:tcPr>
          <w:p>
            <w:pPr>
              <w:pStyle w:val="null3"/>
            </w:pPr>
            <w:r>
              <w:rPr>
                <w:rFonts w:ascii="仿宋_GB2312" w:hAnsi="仿宋_GB2312" w:cs="仿宋_GB2312" w:eastAsia="仿宋_GB2312"/>
              </w:rPr>
              <w:t>根据本项目采购需求，制定数据保密承诺及安全措施。 1.数据保密承诺及安全措施内容全面详细、科学合理，可行性及针对性强，计6分； 2.数据保密承诺及安全措施内容详细、合理可行，计4分； 3.数据保密承诺及安全措施内容可行，计3分； 4.数据保密承诺及安全措施内容简略、内容无针对性，计1分；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售后服务实施方案，要求服务机构健全，提供服务标准公约，配备专职售后服务人员，项目组人员提供的各项服务承诺情况，根据响应程度计分。 服务承诺切实可行，保证措施完善合理，针对性强计(4-6]分； 服务承诺基本可行，保证措施较为完善，针对性一般计(2-4]分； 服务承诺部分可行，针对性差计[1-2]分；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分项报价表(服务).docx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