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版本号：CZCGAJ(2025)ZYSB20250924001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业务信息系统装备、专用设备和计算机项目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CZCGAJ(2025)ZYSB</w:t>
      </w:r>
      <w:r>
        <w:br/>
      </w:r>
      <w:r>
        <w:br/>
      </w:r>
      <w:r>
        <w:br/>
      </w:r>
    </w:p>
    <w:p>
      <w:pPr>
        <w:pStyle w:val="null3"/>
        <w:jc w:val="center"/>
        <w:outlineLvl w:val="2"/>
      </w:pPr>
      <w:r>
        <w:rPr>
          <w:rFonts w:ascii="仿宋_GB2312" w:hAnsi="仿宋_GB2312" w:cs="仿宋_GB2312" w:eastAsia="仿宋_GB2312"/>
          <w:sz w:val="28"/>
          <w:b/>
        </w:rPr>
        <w:t>澄城县公安局</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澄城县公安局</w:t>
      </w:r>
      <w:r>
        <w:rPr>
          <w:rFonts w:ascii="仿宋_GB2312" w:hAnsi="仿宋_GB2312" w:cs="仿宋_GB2312" w:eastAsia="仿宋_GB2312"/>
        </w:rPr>
        <w:t>委托，拟对</w:t>
      </w:r>
      <w:r>
        <w:rPr>
          <w:rFonts w:ascii="仿宋_GB2312" w:hAnsi="仿宋_GB2312" w:cs="仿宋_GB2312" w:eastAsia="仿宋_GB2312"/>
        </w:rPr>
        <w:t>业务信息系统装备、专用设备和计算机项目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CZCGAJ(2025)ZYSB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业务信息系统装备、专用设备和计算机项目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业务信息系统装备、专用设备、计算机项目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p>
      <w:pPr>
        <w:pStyle w:val="null3"/>
      </w:pPr>
      <w:r>
        <w:rPr>
          <w:rFonts w:ascii="仿宋_GB2312" w:hAnsi="仿宋_GB2312" w:cs="仿宋_GB2312" w:eastAsia="仿宋_GB2312"/>
        </w:rPr>
        <w:t>8、信用主体查询：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9、非联合体投标：本项目不接受联合体投标。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p>
      <w:pPr>
        <w:pStyle w:val="null3"/>
      </w:pPr>
      <w:r>
        <w:rPr>
          <w:rFonts w:ascii="仿宋_GB2312" w:hAnsi="仿宋_GB2312" w:cs="仿宋_GB2312" w:eastAsia="仿宋_GB2312"/>
        </w:rPr>
        <w:t>8、信用主体查询：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9、非联合体投标：本项目不接受联合体投标。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澄城县万泉街二路东200米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0913-6868596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p>
          <w:p>
            <w:pPr>
              <w:pStyle w:val="null3"/>
            </w:pPr>
            <w:r>
              <w:rPr>
                <w:rFonts w:ascii="仿宋_GB2312" w:hAnsi="仿宋_GB2312" w:cs="仿宋_GB2312" w:eastAsia="仿宋_GB2312"/>
              </w:rPr>
              <w:t>采购包2：314,000.00元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澄城县公安局</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（1）货物到达采购人指定地点后，由采购人组织双方参与方式对货物进行验收，须满足招标文件、投标文件及合同约定相关要求，且须符合国家规定的相关标准和国家质检要求，一次性自行验收。 （2）检查包装是否有污秽不洁、严重破损的；验收时做好验收记录，双方签字存档，货物的质量、数量等是否满足采购人所需； （4）对于验收不合格的产品应及时退回供应商，同时做好相关记录； （5）货物供应渠道正规、稳定且质量有保证，检验手续合法有效，具备完善的管理制度流程，提供检验报告等相关证明材料。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澄城县公安局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澄城县公安局</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澄城县公安局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联系人：杜先生</w:t>
      </w:r>
    </w:p>
    <w:p>
      <w:pPr>
        <w:pStyle w:val="null3"/>
      </w:pPr>
      <w:r>
        <w:rPr>
          <w:rFonts w:ascii="仿宋_GB2312" w:hAnsi="仿宋_GB2312" w:cs="仿宋_GB2312" w:eastAsia="仿宋_GB2312"/>
        </w:rPr>
        <w:t>联系电话：0913-6868596</w:t>
      </w:r>
    </w:p>
    <w:p>
      <w:pPr>
        <w:pStyle w:val="null3"/>
      </w:pPr>
      <w:r>
        <w:rPr>
          <w:rFonts w:ascii="仿宋_GB2312" w:hAnsi="仿宋_GB2312" w:cs="仿宋_GB2312" w:eastAsia="仿宋_GB2312"/>
        </w:rPr>
        <w:t>地址：澄城县万泉街二路东200米</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业务信息系统装备、专用设备、计算机项目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业务信息系统装备及专用设备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314,000.00</w:t>
      </w:r>
    </w:p>
    <w:p>
      <w:pPr>
        <w:pStyle w:val="null3"/>
      </w:pPr>
      <w:r>
        <w:rPr>
          <w:rFonts w:ascii="仿宋_GB2312" w:hAnsi="仿宋_GB2312" w:cs="仿宋_GB2312" w:eastAsia="仿宋_GB2312"/>
        </w:rPr>
        <w:t>采购包最高限价（元）: 314,000.00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标的名称：业务信息系统装备及专用设备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34"/>
              <w:gridCol w:w="134"/>
              <w:gridCol w:w="2014"/>
              <w:gridCol w:w="134"/>
              <w:gridCol w:w="134"/>
            </w:tblGrid>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澄城县公安局业务信息系统装备及专用设备项目清单</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货物</w:t>
                  </w:r>
                  <w:r>
                    <w:br/>
                  </w:r>
                  <w:r>
                    <w:rPr>
                      <w:rFonts w:ascii="仿宋_GB2312" w:hAnsi="仿宋_GB2312" w:cs="仿宋_GB2312" w:eastAsia="仿宋_GB2312"/>
                      <w:sz w:val="22"/>
                      <w:color w:val="000000"/>
                    </w:rPr>
                    <w:t xml:space="preserve"> 名称</w:t>
                  </w:r>
                </w:p>
              </w:tc>
              <w:tc>
                <w:tcPr>
                  <w:tcW w:type="dxa" w:w="20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        数</w:t>
                  </w:r>
                </w:p>
              </w:tc>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r>
            <w:tr>
              <w:tc>
                <w:tcPr>
                  <w:tcW w:type="dxa" w:w="1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手机云取证系统</w:t>
                  </w:r>
                </w:p>
              </w:tc>
              <w:tc>
                <w:tcPr>
                  <w:tcW w:type="dxa" w:w="201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硬件参数</w:t>
                  </w:r>
                  <w:r>
                    <w:br/>
                  </w:r>
                  <w:r>
                    <w:rPr>
                      <w:rFonts w:ascii="仿宋_GB2312" w:hAnsi="仿宋_GB2312" w:cs="仿宋_GB2312" w:eastAsia="仿宋_GB2312"/>
                      <w:sz w:val="22"/>
                      <w:color w:val="000000"/>
                    </w:rPr>
                    <w:t xml:space="preserve"> 1.多功能一体式工作站</w:t>
                  </w:r>
                  <w:r>
                    <w:br/>
                  </w:r>
                  <w:r>
                    <w:rPr>
                      <w:rFonts w:ascii="仿宋_GB2312" w:hAnsi="仿宋_GB2312" w:cs="仿宋_GB2312" w:eastAsia="仿宋_GB2312"/>
                      <w:sz w:val="22"/>
                      <w:color w:val="000000"/>
                    </w:rPr>
                    <w:t xml:space="preserve"> 2.CPU：I9 12900K</w:t>
                  </w:r>
                  <w:r>
                    <w:br/>
                  </w:r>
                  <w:r>
                    <w:rPr>
                      <w:rFonts w:ascii="仿宋_GB2312" w:hAnsi="仿宋_GB2312" w:cs="仿宋_GB2312" w:eastAsia="仿宋_GB2312"/>
                      <w:sz w:val="22"/>
                      <w:color w:val="000000"/>
                    </w:rPr>
                    <w:t xml:space="preserve"> 3.内存：≥64GB DDR5 Memory</w:t>
                  </w:r>
                  <w:r>
                    <w:br/>
                  </w:r>
                  <w:r>
                    <w:rPr>
                      <w:rFonts w:ascii="仿宋_GB2312" w:hAnsi="仿宋_GB2312" w:cs="仿宋_GB2312" w:eastAsia="仿宋_GB2312"/>
                      <w:sz w:val="22"/>
                      <w:color w:val="000000"/>
                    </w:rPr>
                    <w:t xml:space="preserve"> 4.硬盘：≥1 x 1TB  NVME SSD，1 x  8TB 7200rpm 企业级HDD</w:t>
                  </w:r>
                  <w:r>
                    <w:br/>
                  </w:r>
                  <w:r>
                    <w:rPr>
                      <w:rFonts w:ascii="仿宋_GB2312" w:hAnsi="仿宋_GB2312" w:cs="仿宋_GB2312" w:eastAsia="仿宋_GB2312"/>
                      <w:sz w:val="22"/>
                      <w:color w:val="000000"/>
                    </w:rPr>
                    <w:t xml:space="preserve"> 5.显卡：Nvidia T400 ≥4GB显存高性能显卡</w:t>
                  </w:r>
                  <w:r>
                    <w:br/>
                  </w:r>
                  <w:r>
                    <w:rPr>
                      <w:rFonts w:ascii="仿宋_GB2312" w:hAnsi="仿宋_GB2312" w:cs="仿宋_GB2312" w:eastAsia="仿宋_GB2312"/>
                      <w:sz w:val="22"/>
                      <w:color w:val="000000"/>
                    </w:rPr>
                    <w:t xml:space="preserve"> 6.光驱：蓝光刻录光驱</w:t>
                  </w:r>
                  <w:r>
                    <w:br/>
                  </w:r>
                  <w:r>
                    <w:rPr>
                      <w:rFonts w:ascii="仿宋_GB2312" w:hAnsi="仿宋_GB2312" w:cs="仿宋_GB2312" w:eastAsia="仿宋_GB2312"/>
                      <w:sz w:val="22"/>
                      <w:color w:val="000000"/>
                    </w:rPr>
                    <w:t xml:space="preserve"> 7.高稳定电流 USB3.0*8</w:t>
                  </w:r>
                  <w:r>
                    <w:br/>
                  </w:r>
                  <w:r>
                    <w:rPr>
                      <w:rFonts w:ascii="仿宋_GB2312" w:hAnsi="仿宋_GB2312" w:cs="仿宋_GB2312" w:eastAsia="仿宋_GB2312"/>
                      <w:sz w:val="22"/>
                      <w:color w:val="000000"/>
                    </w:rPr>
                    <w:t xml:space="preserve"> 8.≥3.5 寸 SATA 读写热拔插硬盘位 1+3</w:t>
                  </w:r>
                  <w:r>
                    <w:br/>
                  </w:r>
                  <w:r>
                    <w:rPr>
                      <w:rFonts w:ascii="仿宋_GB2312" w:hAnsi="仿宋_GB2312" w:cs="仿宋_GB2312" w:eastAsia="仿宋_GB2312"/>
                      <w:sz w:val="22"/>
                      <w:color w:val="000000"/>
                    </w:rPr>
                    <w:t xml:space="preserve"> 9.显示器：≥34 寸高清宽屏显示器*1（曲屏）</w:t>
                  </w:r>
                  <w:r>
                    <w:br/>
                  </w:r>
                  <w:r>
                    <w:rPr>
                      <w:rFonts w:ascii="仿宋_GB2312" w:hAnsi="仿宋_GB2312" w:cs="仿宋_GB2312" w:eastAsia="仿宋_GB2312"/>
                      <w:sz w:val="22"/>
                      <w:color w:val="000000"/>
                    </w:rPr>
                    <w:t xml:space="preserve"> 10.≥1000W 高功率模组电源*1</w:t>
                  </w:r>
                  <w:r>
                    <w:br/>
                  </w:r>
                  <w:r>
                    <w:rPr>
                      <w:rFonts w:ascii="仿宋_GB2312" w:hAnsi="仿宋_GB2312" w:cs="仿宋_GB2312" w:eastAsia="仿宋_GB2312"/>
                      <w:sz w:val="22"/>
                      <w:color w:val="000000"/>
                    </w:rPr>
                    <w:t xml:space="preserve"> 11.操作系统：WIN10 64 位</w:t>
                  </w:r>
                  <w:r>
                    <w:br/>
                  </w:r>
                  <w:r>
                    <w:rPr>
                      <w:rFonts w:ascii="仿宋_GB2312" w:hAnsi="仿宋_GB2312" w:cs="仿宋_GB2312" w:eastAsia="仿宋_GB2312"/>
                      <w:sz w:val="22"/>
                      <w:color w:val="000000"/>
                    </w:rPr>
                    <w:t xml:space="preserve"> 12.≥4.3英寸单点触控组态屏(IPS, TFT LCD液晶屏,分辨率:480*1920 )</w:t>
                  </w:r>
                  <w:r>
                    <w:br/>
                  </w:r>
                  <w:r>
                    <w:rPr>
                      <w:rFonts w:ascii="仿宋_GB2312" w:hAnsi="仿宋_GB2312" w:cs="仿宋_GB2312" w:eastAsia="仿宋_GB2312"/>
                      <w:sz w:val="22"/>
                      <w:color w:val="000000"/>
                    </w:rPr>
                    <w:t xml:space="preserve"> 软件参数</w:t>
                  </w:r>
                  <w:r>
                    <w:br/>
                  </w:r>
                  <w:r>
                    <w:rPr>
                      <w:rFonts w:ascii="仿宋_GB2312" w:hAnsi="仿宋_GB2312" w:cs="仿宋_GB2312" w:eastAsia="仿宋_GB2312"/>
                      <w:sz w:val="22"/>
                      <w:color w:val="000000"/>
                    </w:rPr>
                    <w:t xml:space="preserve"> 1)需支持金融支付类云端数据及云备份类，包括不限于：支付宝（包含回收站删除账单）、微信（包含删除账单）、苹果iCloud、华为云、华为云第三方应用备份（包含微信、Telegram等聊天记录）、小米云、vivo云、百度网盘、一刻相册、腾讯微云、115网盘、Bomb后端云、360安全云盘、天翼云盘、蓝奏云、曲奇云盘、比特球云盘、Google数据、飞书文档、阿里云盘、七牛云、文叔叔、QQ同步助手、金山文档、中国移动云盘等；（投标时须提供第三方相关检测中心出具的检验报告复印件并加盖厂家公章，检验报告需在招标公告发布之前获得）</w:t>
                  </w:r>
                  <w:r>
                    <w:br/>
                  </w:r>
                  <w:r>
                    <w:rPr>
                      <w:rFonts w:ascii="仿宋_GB2312" w:hAnsi="仿宋_GB2312" w:cs="仿宋_GB2312" w:eastAsia="仿宋_GB2312"/>
                      <w:sz w:val="22"/>
                      <w:color w:val="000000"/>
                    </w:rPr>
                    <w:t xml:space="preserve"> 2)需支持社交类，包括不限于：新浪微博、抖音、QQ、QQ空间、LOFTER、陌陌、绿洲、探探、西瓜视频、百度贴吧、快手短视频、天涯社区、爱聊、前程无忧。</w:t>
                  </w:r>
                  <w:r>
                    <w:br/>
                  </w:r>
                  <w:r>
                    <w:rPr>
                      <w:rFonts w:ascii="仿宋_GB2312" w:hAnsi="仿宋_GB2312" w:cs="仿宋_GB2312" w:eastAsia="仿宋_GB2312"/>
                      <w:sz w:val="22"/>
                      <w:color w:val="000000"/>
                    </w:rPr>
                    <w:t xml:space="preserve"> 3)需支持国外社交类，包括不限于：Twitter、Instagram、Telegram、TeleVPN、FlyChat、XPlus。</w:t>
                  </w:r>
                  <w:r>
                    <w:br/>
                  </w:r>
                  <w:r>
                    <w:rPr>
                      <w:rFonts w:ascii="仿宋_GB2312" w:hAnsi="仿宋_GB2312" w:cs="仿宋_GB2312" w:eastAsia="仿宋_GB2312"/>
                      <w:sz w:val="22"/>
                      <w:color w:val="000000"/>
                    </w:rPr>
                    <w:t xml:space="preserve"> 4)需支持购物类，包括不限于：淘宝、京东商城、拼多多、拼多多商家版、饿了么、唯品会、转转、大众点评、美团、蘑菇街、微拍堂、苏宁易购、国美、58同城、乐居买房。</w:t>
                  </w:r>
                  <w:r>
                    <w:br/>
                  </w:r>
                  <w:r>
                    <w:rPr>
                      <w:rFonts w:ascii="仿宋_GB2312" w:hAnsi="仿宋_GB2312" w:cs="仿宋_GB2312" w:eastAsia="仿宋_GB2312"/>
                      <w:sz w:val="22"/>
                      <w:color w:val="000000"/>
                    </w:rPr>
                    <w:t xml:space="preserve"> 5)需支持华为云第三方应用备份（包含微信、Telegram等聊天记录）以及浏览器历史记录获取；（投标时须提供第三方相关检测中心出具的检验报告复印件并加盖厂家公章，检验报告需在招标公告发布之前获得）</w:t>
                  </w:r>
                  <w:r>
                    <w:br/>
                  </w:r>
                  <w:r>
                    <w:rPr>
                      <w:rFonts w:ascii="仿宋_GB2312" w:hAnsi="仿宋_GB2312" w:cs="仿宋_GB2312" w:eastAsia="仿宋_GB2312"/>
                      <w:sz w:val="22"/>
                      <w:color w:val="000000"/>
                    </w:rPr>
                    <w:t xml:space="preserve"> 6)需支持笔记类，包括不限于：有道云笔记、印象笔记、OneNote。</w:t>
                  </w:r>
                  <w:r>
                    <w:br/>
                  </w:r>
                  <w:r>
                    <w:rPr>
                      <w:rFonts w:ascii="仿宋_GB2312" w:hAnsi="仿宋_GB2312" w:cs="仿宋_GB2312" w:eastAsia="仿宋_GB2312"/>
                      <w:sz w:val="22"/>
                      <w:color w:val="000000"/>
                    </w:rPr>
                    <w:t xml:space="preserve"> 7)需支持通信运营商类，包括不限于：中国移动、电信营业厅、中国联通。</w:t>
                  </w:r>
                  <w:r>
                    <w:br/>
                  </w:r>
                  <w:r>
                    <w:rPr>
                      <w:rFonts w:ascii="仿宋_GB2312" w:hAnsi="仿宋_GB2312" w:cs="仿宋_GB2312" w:eastAsia="仿宋_GB2312"/>
                      <w:sz w:val="22"/>
                      <w:color w:val="000000"/>
                    </w:rPr>
                    <w:t xml:space="preserve"> 8)需支持自动提取APP密钥，支持免密、账号+密码、手机号+短信验证码、账号+二维码等多种登录方式，支持不少于20款APP免密登录；需配备短信验证模块，可自动进行短信验证码验证登录。</w:t>
                  </w:r>
                  <w:r>
                    <w:br/>
                  </w:r>
                  <w:r>
                    <w:rPr>
                      <w:rFonts w:ascii="仿宋_GB2312" w:hAnsi="仿宋_GB2312" w:cs="仿宋_GB2312" w:eastAsia="仿宋_GB2312"/>
                      <w:sz w:val="22"/>
                      <w:color w:val="000000"/>
                    </w:rPr>
                    <w:t xml:space="preserve"> 9)需支持文件与任务的断点续传。</w:t>
                  </w:r>
                  <w:r>
                    <w:br/>
                  </w:r>
                  <w:r>
                    <w:rPr>
                      <w:rFonts w:ascii="仿宋_GB2312" w:hAnsi="仿宋_GB2312" w:cs="仿宋_GB2312" w:eastAsia="仿宋_GB2312"/>
                      <w:sz w:val="22"/>
                      <w:color w:val="000000"/>
                    </w:rPr>
                    <w:t xml:space="preserve"> 10)需支持多检材、多应用、多账号并行云取证。</w:t>
                  </w:r>
                  <w:r>
                    <w:br/>
                  </w:r>
                  <w:r>
                    <w:rPr>
                      <w:rFonts w:ascii="仿宋_GB2312" w:hAnsi="仿宋_GB2312" w:cs="仿宋_GB2312" w:eastAsia="仿宋_GB2312"/>
                      <w:sz w:val="22"/>
                      <w:color w:val="000000"/>
                    </w:rPr>
                    <w:t xml:space="preserve"> 11)需支持不少于三路手机与镜像取证、文件取证、SIM/SD卡取证、拍照取证等并行取证。</w:t>
                  </w:r>
                  <w:r>
                    <w:br/>
                  </w:r>
                  <w:r>
                    <w:rPr>
                      <w:rFonts w:ascii="仿宋_GB2312" w:hAnsi="仿宋_GB2312" w:cs="仿宋_GB2312" w:eastAsia="仿宋_GB2312"/>
                      <w:sz w:val="22"/>
                      <w:color w:val="000000"/>
                    </w:rPr>
                    <w:t xml:space="preserve"> 12)需支持在手机取证时，可同时处理数据浏览、数据搜索、导出报告、数据分析等。</w:t>
                  </w:r>
                  <w:r>
                    <w:br/>
                  </w:r>
                  <w:r>
                    <w:rPr>
                      <w:rFonts w:ascii="仿宋_GB2312" w:hAnsi="仿宋_GB2312" w:cs="仿宋_GB2312" w:eastAsia="仿宋_GB2312"/>
                      <w:sz w:val="22"/>
                      <w:color w:val="000000"/>
                    </w:rPr>
                    <w:t xml:space="preserve"> 13)需支持Android、iOS、鸿蒙手机取证。</w:t>
                  </w:r>
                  <w:r>
                    <w:br/>
                  </w:r>
                  <w:r>
                    <w:rPr>
                      <w:rFonts w:ascii="仿宋_GB2312" w:hAnsi="仿宋_GB2312" w:cs="仿宋_GB2312" w:eastAsia="仿宋_GB2312"/>
                      <w:sz w:val="22"/>
                      <w:color w:val="000000"/>
                    </w:rPr>
                    <w:t xml:space="preserve"> 14)需支持OPPO、魅族、vivo、小米、华为、三星等主流品牌手机的密码破解；支持vivo、华为、小米、OPPO、三星高级备份。</w:t>
                  </w:r>
                  <w:r>
                    <w:br/>
                  </w:r>
                  <w:r>
                    <w:rPr>
                      <w:rFonts w:ascii="仿宋_GB2312" w:hAnsi="仿宋_GB2312" w:cs="仿宋_GB2312" w:eastAsia="仿宋_GB2312"/>
                      <w:sz w:val="22"/>
                      <w:color w:val="000000"/>
                    </w:rPr>
                    <w:t xml:space="preserve"> 15)需支持提取并恢复SIM卡上的记录。</w:t>
                  </w:r>
                  <w:r>
                    <w:br/>
                  </w:r>
                  <w:r>
                    <w:rPr>
                      <w:rFonts w:ascii="仿宋_GB2312" w:hAnsi="仿宋_GB2312" w:cs="仿宋_GB2312" w:eastAsia="仿宋_GB2312"/>
                      <w:sz w:val="22"/>
                      <w:color w:val="000000"/>
                    </w:rPr>
                    <w:t xml:space="preserve"> 16)需支持手机已删除数据的恢复，其中iOS手机可实现删除数据恢复，Android手机可自动ROOT后进行删除数据恢复，在ROOT失败情况下，也能支持Android手机解析和恢复QQ、微信、微博等应用程序数据。</w:t>
                  </w:r>
                  <w:r>
                    <w:br/>
                  </w:r>
                  <w:r>
                    <w:rPr>
                      <w:rFonts w:ascii="仿宋_GB2312" w:hAnsi="仿宋_GB2312" w:cs="仿宋_GB2312" w:eastAsia="仿宋_GB2312"/>
                      <w:sz w:val="22"/>
                      <w:color w:val="000000"/>
                    </w:rPr>
                    <w:t xml:space="preserve"> 17)需支持基于微信备份原理以及镜像的深度数据恢复，可深度恢复微信、短信等删除数据，解决高版本微信无法恢复数据的行业难题。</w:t>
                  </w:r>
                  <w:r>
                    <w:br/>
                  </w:r>
                  <w:r>
                    <w:rPr>
                      <w:rFonts w:ascii="仿宋_GB2312" w:hAnsi="仿宋_GB2312" w:cs="仿宋_GB2312" w:eastAsia="仿宋_GB2312"/>
                      <w:sz w:val="22"/>
                      <w:color w:val="000000"/>
                    </w:rPr>
                    <w:t xml:space="preserve"> 18)需支持Android、iOS、鸿蒙OS、澎湃OS手机最近删除文件恢复、支持Android、iOS手机缩略图恢复。</w:t>
                  </w:r>
                  <w:r>
                    <w:br/>
                  </w:r>
                  <w:r>
                    <w:rPr>
                      <w:rFonts w:ascii="仿宋_GB2312" w:hAnsi="仿宋_GB2312" w:cs="仿宋_GB2312" w:eastAsia="仿宋_GB2312"/>
                      <w:sz w:val="22"/>
                      <w:color w:val="000000"/>
                    </w:rPr>
                    <w:t xml:space="preserve"> 19)支持微信交易记录数据获取，可获取红包、转账、二维码收款、商户消费等数据，包含删除记录；（投标时须提供第三方相关检测中心出具的检验报告复印件并加盖厂家公章，检验报告需在招标公告发布之前获得）</w:t>
                  </w:r>
                  <w:r>
                    <w:br/>
                  </w:r>
                  <w:r>
                    <w:rPr>
                      <w:rFonts w:ascii="仿宋_GB2312" w:hAnsi="仿宋_GB2312" w:cs="仿宋_GB2312" w:eastAsia="仿宋_GB2312"/>
                      <w:sz w:val="22"/>
                      <w:color w:val="000000"/>
                    </w:rPr>
                    <w:t xml:space="preserve"> 20)需支持iOS加密备份的keychain解析。</w:t>
                  </w:r>
                  <w:r>
                    <w:br/>
                  </w:r>
                  <w:r>
                    <w:rPr>
                      <w:rFonts w:ascii="仿宋_GB2312" w:hAnsi="仿宋_GB2312" w:cs="仿宋_GB2312" w:eastAsia="仿宋_GB2312"/>
                      <w:sz w:val="22"/>
                      <w:color w:val="000000"/>
                    </w:rPr>
                    <w:t xml:space="preserve"> 21)需支持手机Wi-Fi、蓝牙连接记录的提取，支持手机GPS、Wi-Fi、基站、照片位置信息及部分应用程序位置信息的提取。</w:t>
                  </w:r>
                  <w:r>
                    <w:br/>
                  </w:r>
                  <w:r>
                    <w:rPr>
                      <w:rFonts w:ascii="仿宋_GB2312" w:hAnsi="仿宋_GB2312" w:cs="仿宋_GB2312" w:eastAsia="仿宋_GB2312"/>
                      <w:sz w:val="22"/>
                      <w:color w:val="000000"/>
                    </w:rPr>
                    <w:t xml:space="preserve"> 22)需支持中国银行、建设银行、农业银行、交通银行、招商银行、工商银行等银行类APP的获取解析。</w:t>
                  </w:r>
                  <w:r>
                    <w:br/>
                  </w:r>
                  <w:r>
                    <w:rPr>
                      <w:rFonts w:ascii="仿宋_GB2312" w:hAnsi="仿宋_GB2312" w:cs="仿宋_GB2312" w:eastAsia="仿宋_GB2312"/>
                      <w:sz w:val="22"/>
                      <w:color w:val="000000"/>
                    </w:rPr>
                    <w:t xml:space="preserve"> 23)需支持网盘下载类应用解析，包含百度网盘、360安全云盘、115个人、腾讯微云、Dropbox、微盘、云端硬盘、小米云、iCloud、坚果云、天翼云、OneDrive、曲奇云盘、pCloud、迅雷、box、一刻相册等。</w:t>
                  </w:r>
                  <w:r>
                    <w:br/>
                  </w:r>
                  <w:r>
                    <w:rPr>
                      <w:rFonts w:ascii="仿宋_GB2312" w:hAnsi="仿宋_GB2312" w:cs="仿宋_GB2312" w:eastAsia="仿宋_GB2312"/>
                      <w:sz w:val="22"/>
                      <w:color w:val="000000"/>
                    </w:rPr>
                    <w:t xml:space="preserve"> 24)需突破Android手机取证限制，支持小米、华为、OPPO、荣耀手机Wi-Fi手机搬家/克隆方式取证。支持免网卡方式、备用机方式和Wi-Fi盒子方式。</w:t>
                  </w:r>
                  <w:r>
                    <w:br/>
                  </w:r>
                  <w:r>
                    <w:rPr>
                      <w:rFonts w:ascii="仿宋_GB2312" w:hAnsi="仿宋_GB2312" w:cs="仿宋_GB2312" w:eastAsia="仿宋_GB2312"/>
                      <w:sz w:val="22"/>
                      <w:color w:val="000000"/>
                    </w:rPr>
                    <w:t xml:space="preserve"> 25)需支持列表、会话等方式的数据浏览，语音、视频、图片等多媒体文件直接播放，红包、分享链接、转账等直观展示，微信、QQ、支付宝等资金往来数据单独归类，全面提升数据浏览效率。</w:t>
                  </w:r>
                  <w:r>
                    <w:br/>
                  </w:r>
                  <w:r>
                    <w:rPr>
                      <w:rFonts w:ascii="仿宋_GB2312" w:hAnsi="仿宋_GB2312" w:cs="仿宋_GB2312" w:eastAsia="仿宋_GB2312"/>
                      <w:sz w:val="22"/>
                      <w:color w:val="000000"/>
                    </w:rPr>
                    <w:t xml:space="preserve"> 26)需支持多关键字搜索、时间段搜索、搜索结果溯源以及导出搜索报告；支持对数据添加标签并导出标签报告；支持导出Word、HTML、PDF、CSV等格式的取证报告并进行管理，且HTML报告支持会话展示、查看以及搜索。</w:t>
                  </w:r>
                  <w:r>
                    <w:br/>
                  </w:r>
                  <w:r>
                    <w:rPr>
                      <w:rFonts w:ascii="仿宋_GB2312" w:hAnsi="仿宋_GB2312" w:cs="仿宋_GB2312" w:eastAsia="仿宋_GB2312"/>
                      <w:sz w:val="22"/>
                      <w:color w:val="000000"/>
                    </w:rPr>
                    <w:t xml:space="preserve"> 27)需具备维汉翻译能力，支持普通维文、拉丁维文-汉语机器翻译功能，冲破语言障碍，实现跨语言办案，从而降低破案门槛。</w:t>
                  </w:r>
                  <w:r>
                    <w:br/>
                  </w:r>
                  <w:r>
                    <w:rPr>
                      <w:rFonts w:ascii="仿宋_GB2312" w:hAnsi="仿宋_GB2312" w:cs="仿宋_GB2312" w:eastAsia="仿宋_GB2312"/>
                      <w:sz w:val="22"/>
                      <w:color w:val="000000"/>
                    </w:rPr>
                    <w:t xml:space="preserve"> 28)支持手机数据分析功能，包括人物画像、社会关系分析、时空分析、经济行为分析、行为习惯分析、视频画像分析、多人关系分析、涉嫌分析、高频词分析、敏感人分析等；（投标时须提供第三方相关检测中心出具的检验报告复印件并加盖厂家公章，检验报告需在招标公告发布之前获得）</w:t>
                  </w:r>
                  <w:r>
                    <w:br/>
                  </w:r>
                  <w:r>
                    <w:rPr>
                      <w:rFonts w:ascii="仿宋_GB2312" w:hAnsi="仿宋_GB2312" w:cs="仿宋_GB2312" w:eastAsia="仿宋_GB2312"/>
                      <w:sz w:val="22"/>
                      <w:color w:val="000000"/>
                    </w:rPr>
                    <w:t xml:space="preserve"> 29)需支持人物画像分析，分析机主身份属性与关键行为，身份属性包括姓名、身份证、住址、手机号码、虚拟身份（QQ、微信、E-mail等）、银行卡号、车辆、毕业学校等基本属性，支持基本信息编辑和人物标签化。分析机主自拍头像，关键行为包括关键联系人、经济行为、轨迹信息、应用信息。</w:t>
                  </w:r>
                  <w:r>
                    <w:br/>
                  </w:r>
                  <w:r>
                    <w:rPr>
                      <w:rFonts w:ascii="仿宋_GB2312" w:hAnsi="仿宋_GB2312" w:cs="仿宋_GB2312" w:eastAsia="仿宋_GB2312"/>
                      <w:sz w:val="22"/>
                      <w:color w:val="000000"/>
                    </w:rPr>
                    <w:t xml:space="preserve"> 30)需支持提供微信群成员邀请关系分析，微信群聊人员对应邀请关系及微信群成员之间关系展示，支持在图中搜索指定的人员信息并导出查看。</w:t>
                  </w:r>
                  <w:r>
                    <w:br/>
                  </w:r>
                  <w:r>
                    <w:rPr>
                      <w:rFonts w:ascii="仿宋_GB2312" w:hAnsi="仿宋_GB2312" w:cs="仿宋_GB2312" w:eastAsia="仿宋_GB2312"/>
                      <w:sz w:val="22"/>
                      <w:color w:val="000000"/>
                    </w:rPr>
                    <w:t xml:space="preserve"> 31)需支持提供调证数据导入分析，可将通话数据、即时通讯如微信及QQ聊天记录中的数据导入分析，提供会话详情展示聊天记录数据；可将账单数据导入，提供经济行为分析；调证数据与取证数据可融合分析。</w:t>
                  </w:r>
                  <w:r>
                    <w:br/>
                  </w:r>
                  <w:r>
                    <w:rPr>
                      <w:rFonts w:ascii="仿宋_GB2312" w:hAnsi="仿宋_GB2312" w:cs="仿宋_GB2312" w:eastAsia="仿宋_GB2312"/>
                      <w:sz w:val="22"/>
                      <w:color w:val="000000"/>
                    </w:rPr>
                    <w:t xml:space="preserve"> 32)需支持云平台联动，落查虚拟身份关联注册邮箱或手机等信息。</w:t>
                  </w:r>
                  <w:r>
                    <w:br/>
                  </w:r>
                  <w:r>
                    <w:rPr>
                      <w:rFonts w:ascii="仿宋_GB2312" w:hAnsi="仿宋_GB2312" w:cs="仿宋_GB2312" w:eastAsia="仿宋_GB2312"/>
                      <w:sz w:val="22"/>
                      <w:color w:val="000000"/>
                    </w:rPr>
                    <w:t xml:space="preserve"> 33)针对虚拟货币分析，支持查看某个交易记录的详情，包括转入、转出钱包地址、交易金额和交易时间等；</w:t>
                  </w:r>
                  <w:r>
                    <w:br/>
                  </w:r>
                  <w:r>
                    <w:rPr>
                      <w:rFonts w:ascii="仿宋_GB2312" w:hAnsi="仿宋_GB2312" w:cs="仿宋_GB2312" w:eastAsia="仿宋_GB2312"/>
                      <w:sz w:val="22"/>
                      <w:color w:val="000000"/>
                    </w:rPr>
                    <w:t xml:space="preserve"> 34)★要求支持采集数据上传到 SIS 系统。支持与 SIS 系统进行数据联查与数据共享， 需提供上级公安机关或 SIS 生产厂家提供的系统接入证明。</w:t>
                  </w:r>
                </w:p>
              </w:tc>
              <w:tc>
                <w:tcPr>
                  <w:tcW w:type="dxa" w:w="1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4"/>
                  <w:vMerge/>
                  <w:tcBorders>
                    <w:top w:val="single" w:color="000000" w:sz="4"/>
                    <w:left w:val="single" w:color="000000" w:sz="4"/>
                    <w:bottom w:val="single" w:color="000000" w:sz="4"/>
                    <w:right w:val="single" w:color="000000" w:sz="4"/>
                  </w:tcBorders>
                </w:tcPr>
                <w:p/>
              </w:tc>
              <w:tc>
                <w:tcPr>
                  <w:tcW w:type="dxa" w:w="134"/>
                  <w:vMerge/>
                  <w:tcBorders>
                    <w:top w:val="single" w:color="000000" w:sz="4"/>
                    <w:left w:val="single" w:color="000000" w:sz="4"/>
                    <w:bottom w:val="single" w:color="000000" w:sz="4"/>
                    <w:right w:val="single" w:color="000000" w:sz="4"/>
                  </w:tcBorders>
                </w:tcPr>
                <w:p/>
              </w:tc>
              <w:tc>
                <w:tcPr>
                  <w:tcW w:type="dxa" w:w="2014"/>
                  <w:vMerge/>
                  <w:tcBorders>
                    <w:top w:val="single" w:color="000000" w:sz="4"/>
                    <w:left w:val="single" w:color="000000" w:sz="4"/>
                    <w:bottom w:val="single" w:color="000000" w:sz="4"/>
                    <w:right w:val="single" w:color="000000" w:sz="4"/>
                  </w:tcBorders>
                </w:tcPr>
                <w:p/>
              </w:tc>
              <w:tc>
                <w:tcPr>
                  <w:tcW w:type="dxa" w:w="134"/>
                  <w:vMerge/>
                  <w:tcBorders>
                    <w:top w:val="single" w:color="000000" w:sz="4"/>
                    <w:left w:val="single" w:color="000000" w:sz="4"/>
                    <w:bottom w:val="single" w:color="000000" w:sz="4"/>
                    <w:right w:val="single" w:color="000000" w:sz="4"/>
                  </w:tcBorders>
                </w:tcPr>
                <w:p/>
              </w:tc>
              <w:tc>
                <w:tcPr>
                  <w:tcW w:type="dxa" w:w="134"/>
                  <w:vMerge/>
                  <w:tcBorders>
                    <w:top w:val="single" w:color="000000" w:sz="4"/>
                    <w:left w:val="single" w:color="000000" w:sz="4"/>
                    <w:bottom w:val="single" w:color="000000" w:sz="4"/>
                    <w:right w:val="single" w:color="000000" w:sz="4"/>
                  </w:tcBorders>
                </w:tcPr>
                <w:p/>
              </w:tc>
            </w:tr>
            <w:tr>
              <w:tc>
                <w:tcPr>
                  <w:tcW w:type="dxa" w:w="134"/>
                  <w:vMerge/>
                  <w:tcBorders>
                    <w:top w:val="single" w:color="000000" w:sz="4"/>
                    <w:left w:val="single" w:color="000000" w:sz="4"/>
                    <w:bottom w:val="single" w:color="000000" w:sz="4"/>
                    <w:right w:val="single" w:color="000000" w:sz="4"/>
                  </w:tcBorders>
                </w:tcPr>
                <w:p/>
              </w:tc>
              <w:tc>
                <w:tcPr>
                  <w:tcW w:type="dxa" w:w="134"/>
                  <w:vMerge/>
                  <w:tcBorders>
                    <w:top w:val="single" w:color="000000" w:sz="4"/>
                    <w:left w:val="single" w:color="000000" w:sz="4"/>
                    <w:bottom w:val="single" w:color="000000" w:sz="4"/>
                    <w:right w:val="single" w:color="000000" w:sz="4"/>
                  </w:tcBorders>
                </w:tcPr>
                <w:p/>
              </w:tc>
              <w:tc>
                <w:tcPr>
                  <w:tcW w:type="dxa" w:w="2014"/>
                  <w:vMerge/>
                  <w:tcBorders>
                    <w:top w:val="single" w:color="000000" w:sz="4"/>
                    <w:left w:val="single" w:color="000000" w:sz="4"/>
                    <w:bottom w:val="single" w:color="000000" w:sz="4"/>
                    <w:right w:val="single" w:color="000000" w:sz="4"/>
                  </w:tcBorders>
                </w:tcPr>
                <w:p/>
              </w:tc>
              <w:tc>
                <w:tcPr>
                  <w:tcW w:type="dxa" w:w="134"/>
                  <w:vMerge/>
                  <w:tcBorders>
                    <w:top w:val="single" w:color="000000" w:sz="4"/>
                    <w:left w:val="single" w:color="000000" w:sz="4"/>
                    <w:bottom w:val="single" w:color="000000" w:sz="4"/>
                    <w:right w:val="single" w:color="000000" w:sz="4"/>
                  </w:tcBorders>
                </w:tcPr>
                <w:p/>
              </w:tc>
              <w:tc>
                <w:tcPr>
                  <w:tcW w:type="dxa" w:w="134"/>
                  <w:vMerge/>
                  <w:tcBorders>
                    <w:top w:val="single" w:color="000000" w:sz="4"/>
                    <w:left w:val="single" w:color="000000" w:sz="4"/>
                    <w:bottom w:val="single" w:color="000000" w:sz="4"/>
                    <w:right w:val="single" w:color="000000" w:sz="4"/>
                  </w:tcBorders>
                </w:tcPr>
                <w:p/>
              </w:tc>
            </w:tr>
            <w:tr>
              <w:tc>
                <w:tcPr>
                  <w:tcW w:type="dxa" w:w="1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实验室管理系统</w:t>
                  </w:r>
                </w:p>
              </w:tc>
              <w:tc>
                <w:tcPr>
                  <w:tcW w:type="dxa" w:w="201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1）完全由国内自主研发，自主知识产权，无软件潜在泄密风险。</w:t>
                  </w:r>
                  <w:r>
                    <w:br/>
                  </w:r>
                  <w:r>
                    <w:rPr>
                      <w:rFonts w:ascii="仿宋_GB2312" w:hAnsi="仿宋_GB2312" w:cs="仿宋_GB2312" w:eastAsia="仿宋_GB2312"/>
                      <w:sz w:val="22"/>
                      <w:color w:val="000000"/>
                    </w:rPr>
                    <w:t xml:space="preserve"> 2）支持首页按人员角色统计和展示待办事项，支持案件、人员、检材、装备的数量统计，支持案件、检材的分类统计。</w:t>
                  </w:r>
                  <w:r>
                    <w:br/>
                  </w:r>
                  <w:r>
                    <w:rPr>
                      <w:rFonts w:ascii="仿宋_GB2312" w:hAnsi="仿宋_GB2312" w:cs="仿宋_GB2312" w:eastAsia="仿宋_GB2312"/>
                      <w:sz w:val="22"/>
                      <w:color w:val="000000"/>
                    </w:rPr>
                    <w:t xml:space="preserve"> 3）支持酷炫的系统状态统计功能，可展示实验室整体状态、包括案件简要信息、实验室人员、设备、检材情况等。</w:t>
                  </w:r>
                  <w:r>
                    <w:br/>
                  </w:r>
                  <w:r>
                    <w:rPr>
                      <w:rFonts w:ascii="仿宋_GB2312" w:hAnsi="仿宋_GB2312" w:cs="仿宋_GB2312" w:eastAsia="仿宋_GB2312"/>
                      <w:sz w:val="22"/>
                      <w:color w:val="000000"/>
                    </w:rPr>
                    <w:t xml:space="preserve"> 4）支持委托案件的管理、关键字搜索，支持案件委托、受理、指派、出具鉴定报告、案件归档、终止鉴定等的流程管理。</w:t>
                  </w:r>
                  <w:r>
                    <w:br/>
                  </w:r>
                  <w:r>
                    <w:rPr>
                      <w:rFonts w:ascii="仿宋_GB2312" w:hAnsi="仿宋_GB2312" w:cs="仿宋_GB2312" w:eastAsia="仿宋_GB2312"/>
                      <w:sz w:val="22"/>
                      <w:color w:val="000000"/>
                    </w:rPr>
                    <w:t xml:space="preserve"> 5）支持检材的管理、关键字搜索，支持检材入库、申领、归还、清退等流转流程的管理。</w:t>
                  </w:r>
                  <w:r>
                    <w:br/>
                  </w:r>
                  <w:r>
                    <w:rPr>
                      <w:rFonts w:ascii="仿宋_GB2312" w:hAnsi="仿宋_GB2312" w:cs="仿宋_GB2312" w:eastAsia="仿宋_GB2312"/>
                      <w:sz w:val="22"/>
                      <w:color w:val="000000"/>
                    </w:rPr>
                    <w:t xml:space="preserve"> 6）支持案件的卷宗资料、报告附件、检材图片、取证数据、镜像文件、分析记录等多类文件的管理。</w:t>
                  </w:r>
                  <w:r>
                    <w:br/>
                  </w:r>
                  <w:r>
                    <w:rPr>
                      <w:rFonts w:ascii="仿宋_GB2312" w:hAnsi="仿宋_GB2312" w:cs="仿宋_GB2312" w:eastAsia="仿宋_GB2312"/>
                      <w:sz w:val="22"/>
                      <w:color w:val="000000"/>
                    </w:rPr>
                    <w:t xml:space="preserve"> 7）支持案件相关人员对案件进行信息交流的信息发布管理。</w:t>
                  </w:r>
                  <w:r>
                    <w:br/>
                  </w:r>
                  <w:r>
                    <w:rPr>
                      <w:rFonts w:ascii="仿宋_GB2312" w:hAnsi="仿宋_GB2312" w:cs="仿宋_GB2312" w:eastAsia="仿宋_GB2312"/>
                      <w:sz w:val="22"/>
                      <w:color w:val="000000"/>
                    </w:rPr>
                    <w:t xml:space="preserve"> 8）支持案件的鉴定报告的提交、同级核验、审核、归档管理。</w:t>
                  </w:r>
                  <w:r>
                    <w:br/>
                  </w:r>
                  <w:r>
                    <w:rPr>
                      <w:rFonts w:ascii="仿宋_GB2312" w:hAnsi="仿宋_GB2312" w:cs="仿宋_GB2312" w:eastAsia="仿宋_GB2312"/>
                      <w:sz w:val="22"/>
                      <w:color w:val="000000"/>
                    </w:rPr>
                    <w:t xml:space="preserve"> 9）支持实验室管理系统各种类型文档的下载、打印、刻录光盘。</w:t>
                  </w:r>
                  <w:r>
                    <w:br/>
                  </w:r>
                  <w:r>
                    <w:rPr>
                      <w:rFonts w:ascii="仿宋_GB2312" w:hAnsi="仿宋_GB2312" w:cs="仿宋_GB2312" w:eastAsia="仿宋_GB2312"/>
                      <w:sz w:val="22"/>
                      <w:color w:val="000000"/>
                    </w:rPr>
                    <w:t xml:space="preserve"> 10）支持数据中心功能，支持汇聚取证大师、手机大师上传的BCP数据包。</w:t>
                  </w:r>
                  <w:r>
                    <w:br/>
                  </w:r>
                  <w:r>
                    <w:rPr>
                      <w:rFonts w:ascii="仿宋_GB2312" w:hAnsi="仿宋_GB2312" w:cs="仿宋_GB2312" w:eastAsia="仿宋_GB2312"/>
                      <w:sz w:val="22"/>
                      <w:color w:val="000000"/>
                    </w:rPr>
                    <w:t xml:space="preserve"> 11）支持实验室的取证装备管理功能，同时支持手动添加和自动上传各个厂商的取证装备信息（通过装备运维模块自动上传装备基本信息、软件信息、操作系统信息、CPU信息、内存信息、硬盘信息、分区信息），支持设备的外借流程管理，支持取证设备信息关联设备的核查计划、核查记录、维护计划、维修记录、使用记录、借出/归还记录。</w:t>
                  </w:r>
                  <w:r>
                    <w:br/>
                  </w:r>
                  <w:r>
                    <w:rPr>
                      <w:rFonts w:ascii="仿宋_GB2312" w:hAnsi="仿宋_GB2312" w:cs="仿宋_GB2312" w:eastAsia="仿宋_GB2312"/>
                      <w:sz w:val="22"/>
                      <w:color w:val="000000"/>
                    </w:rPr>
                    <w:t xml:space="preserve"> 12）支持与取证大师等取证软件的联动，自动运行取证软件创建案件并填充相关信息，支持接收取证软件上传的取证数据、案件日志、分析报告、涉案资料等。</w:t>
                  </w:r>
                  <w:r>
                    <w:br/>
                  </w:r>
                  <w:r>
                    <w:rPr>
                      <w:rFonts w:ascii="仿宋_GB2312" w:hAnsi="仿宋_GB2312" w:cs="仿宋_GB2312" w:eastAsia="仿宋_GB2312"/>
                      <w:sz w:val="22"/>
                      <w:color w:val="000000"/>
                    </w:rPr>
                    <w:t xml:space="preserve"> 13）支持实验室的机构信息的管理。</w:t>
                  </w:r>
                  <w:r>
                    <w:br/>
                  </w:r>
                  <w:r>
                    <w:rPr>
                      <w:rFonts w:ascii="仿宋_GB2312" w:hAnsi="仿宋_GB2312" w:cs="仿宋_GB2312" w:eastAsia="仿宋_GB2312"/>
                      <w:sz w:val="22"/>
                      <w:color w:val="000000"/>
                    </w:rPr>
                    <w:t xml:space="preserve"> 14）支持表单字段的自定义配置、灵活的行业切换方案。</w:t>
                  </w:r>
                  <w:r>
                    <w:br/>
                  </w:r>
                  <w:r>
                    <w:rPr>
                      <w:rFonts w:ascii="仿宋_GB2312" w:hAnsi="仿宋_GB2312" w:cs="仿宋_GB2312" w:eastAsia="仿宋_GB2312"/>
                      <w:sz w:val="22"/>
                      <w:color w:val="000000"/>
                    </w:rPr>
                    <w:t xml:space="preserve"> 15）支持委托单位、联系人的管理。</w:t>
                  </w:r>
                  <w:r>
                    <w:br/>
                  </w:r>
                  <w:r>
                    <w:rPr>
                      <w:rFonts w:ascii="仿宋_GB2312" w:hAnsi="仿宋_GB2312" w:cs="仿宋_GB2312" w:eastAsia="仿宋_GB2312"/>
                      <w:sz w:val="22"/>
                      <w:color w:val="000000"/>
                    </w:rPr>
                    <w:t xml:space="preserve"> 16）支持案件类型、检材类型、案件属性、鉴定用途等送检参数的自定义设置。</w:t>
                  </w:r>
                  <w:r>
                    <w:br/>
                  </w:r>
                  <w:r>
                    <w:rPr>
                      <w:rFonts w:ascii="仿宋_GB2312" w:hAnsi="仿宋_GB2312" w:cs="仿宋_GB2312" w:eastAsia="仿宋_GB2312"/>
                      <w:sz w:val="22"/>
                      <w:color w:val="000000"/>
                    </w:rPr>
                    <w:t xml:space="preserve"> 17）支持数十种文档模板管理，文档内容自动填充。</w:t>
                  </w:r>
                  <w:r>
                    <w:br/>
                  </w:r>
                  <w:r>
                    <w:rPr>
                      <w:rFonts w:ascii="仿宋_GB2312" w:hAnsi="仿宋_GB2312" w:cs="仿宋_GB2312" w:eastAsia="仿宋_GB2312"/>
                      <w:sz w:val="22"/>
                      <w:color w:val="000000"/>
                    </w:rPr>
                    <w:t xml:space="preserve"> 18）支持案件归档确认单的自定义配置。</w:t>
                  </w:r>
                  <w:r>
                    <w:br/>
                  </w:r>
                  <w:r>
                    <w:rPr>
                      <w:rFonts w:ascii="仿宋_GB2312" w:hAnsi="仿宋_GB2312" w:cs="仿宋_GB2312" w:eastAsia="仿宋_GB2312"/>
                      <w:sz w:val="22"/>
                      <w:color w:val="000000"/>
                    </w:rPr>
                    <w:t xml:space="preserve"> 19）支持报告编号的名称、类型、格式的自定义配置。</w:t>
                  </w:r>
                  <w:r>
                    <w:br/>
                  </w:r>
                  <w:r>
                    <w:rPr>
                      <w:rFonts w:ascii="仿宋_GB2312" w:hAnsi="仿宋_GB2312" w:cs="仿宋_GB2312" w:eastAsia="仿宋_GB2312"/>
                      <w:sz w:val="22"/>
                      <w:color w:val="000000"/>
                    </w:rPr>
                    <w:t xml:space="preserve"> 20）支持委托编号、检材编号的自定义配置。</w:t>
                  </w:r>
                  <w:r>
                    <w:br/>
                  </w:r>
                  <w:r>
                    <w:rPr>
                      <w:rFonts w:ascii="仿宋_GB2312" w:hAnsi="仿宋_GB2312" w:cs="仿宋_GB2312" w:eastAsia="仿宋_GB2312"/>
                      <w:sz w:val="22"/>
                      <w:color w:val="000000"/>
                    </w:rPr>
                    <w:t xml:space="preserve"> 21）支持实验室配套办公设备签字板、网络打印机、条码打印机、扫码枪、高拍仪、智能物证存储柜的基础设施配置管理，并与之联动实现物联化。</w:t>
                  </w:r>
                  <w:r>
                    <w:br/>
                  </w:r>
                  <w:r>
                    <w:rPr>
                      <w:rFonts w:ascii="仿宋_GB2312" w:hAnsi="仿宋_GB2312" w:cs="仿宋_GB2312" w:eastAsia="仿宋_GB2312"/>
                      <w:sz w:val="22"/>
                      <w:color w:val="000000"/>
                    </w:rPr>
                    <w:t xml:space="preserve"> 22）支持在客户端上传升级包并更新整套实验室管理系统。</w:t>
                  </w:r>
                  <w:r>
                    <w:br/>
                  </w:r>
                  <w:r>
                    <w:rPr>
                      <w:rFonts w:ascii="仿宋_GB2312" w:hAnsi="仿宋_GB2312" w:cs="仿宋_GB2312" w:eastAsia="仿宋_GB2312"/>
                      <w:sz w:val="22"/>
                      <w:color w:val="000000"/>
                    </w:rPr>
                    <w:t xml:space="preserve"> 23）支持用户信息管理，多个用户可以同时登录系统，支持一人多案、多人一案的工作模式，支持人员信息关联人员培训记录、人员监督记录。</w:t>
                  </w:r>
                  <w:r>
                    <w:br/>
                  </w:r>
                  <w:r>
                    <w:rPr>
                      <w:rFonts w:ascii="仿宋_GB2312" w:hAnsi="仿宋_GB2312" w:cs="仿宋_GB2312" w:eastAsia="仿宋_GB2312"/>
                      <w:sz w:val="22"/>
                      <w:color w:val="000000"/>
                    </w:rPr>
                    <w:t xml:space="preserve"> 24）支持同一个用户多处登录时提示强制登录的功能。</w:t>
                  </w:r>
                  <w:r>
                    <w:br/>
                  </w:r>
                  <w:r>
                    <w:rPr>
                      <w:rFonts w:ascii="仿宋_GB2312" w:hAnsi="仿宋_GB2312" w:cs="仿宋_GB2312" w:eastAsia="仿宋_GB2312"/>
                      <w:sz w:val="22"/>
                      <w:color w:val="000000"/>
                    </w:rPr>
                    <w:t xml:space="preserve"> 25）支持角色管理和权限的自定义配置。</w:t>
                  </w:r>
                  <w:r>
                    <w:br/>
                  </w:r>
                  <w:r>
                    <w:rPr>
                      <w:rFonts w:ascii="仿宋_GB2312" w:hAnsi="仿宋_GB2312" w:cs="仿宋_GB2312" w:eastAsia="仿宋_GB2312"/>
                      <w:sz w:val="22"/>
                      <w:color w:val="000000"/>
                    </w:rPr>
                    <w:t xml:space="preserve"> 26）支持详细的系统日志、案件操作日志审计功能，方便追踪溯源。</w:t>
                  </w:r>
                  <w:r>
                    <w:br/>
                  </w:r>
                  <w:r>
                    <w:rPr>
                      <w:rFonts w:ascii="仿宋_GB2312" w:hAnsi="仿宋_GB2312" w:cs="仿宋_GB2312" w:eastAsia="仿宋_GB2312"/>
                      <w:sz w:val="22"/>
                      <w:color w:val="000000"/>
                    </w:rPr>
                    <w:t xml:space="preserve"> 27）支持通过WEB浏览器输入服务端IP直接下载客户端安装包的功能。</w:t>
                  </w:r>
                  <w:r>
                    <w:br/>
                  </w:r>
                  <w:r>
                    <w:rPr>
                      <w:rFonts w:ascii="仿宋_GB2312" w:hAnsi="仿宋_GB2312" w:cs="仿宋_GB2312" w:eastAsia="仿宋_GB2312"/>
                      <w:sz w:val="22"/>
                      <w:color w:val="000000"/>
                    </w:rPr>
                    <w:t xml:space="preserve"> 28）支持开机自动启动客户端和自动登录系统功能。</w:t>
                  </w:r>
                  <w:r>
                    <w:br/>
                  </w:r>
                  <w:r>
                    <w:rPr>
                      <w:rFonts w:ascii="仿宋_GB2312" w:hAnsi="仿宋_GB2312" w:cs="仿宋_GB2312" w:eastAsia="仿宋_GB2312"/>
                      <w:sz w:val="22"/>
                      <w:color w:val="000000"/>
                    </w:rPr>
                    <w:t xml:space="preserve"> 29）支持下一步流程的友好性跳转提示。</w:t>
                  </w:r>
                  <w:r>
                    <w:br/>
                  </w:r>
                  <w:r>
                    <w:rPr>
                      <w:rFonts w:ascii="仿宋_GB2312" w:hAnsi="仿宋_GB2312" w:cs="仿宋_GB2312" w:eastAsia="仿宋_GB2312"/>
                      <w:sz w:val="22"/>
                      <w:color w:val="000000"/>
                    </w:rPr>
                    <w:t xml:space="preserve"> 30）支持系统名称的自定义设置。</w:t>
                  </w:r>
                  <w:r>
                    <w:br/>
                  </w:r>
                  <w:r>
                    <w:rPr>
                      <w:rFonts w:ascii="仿宋_GB2312" w:hAnsi="仿宋_GB2312" w:cs="仿宋_GB2312" w:eastAsia="仿宋_GB2312"/>
                      <w:sz w:val="22"/>
                      <w:color w:val="000000"/>
                    </w:rPr>
                    <w:t xml:space="preserve"> 31）支持检材外借超时时限的自定义设置。</w:t>
                  </w:r>
                  <w:r>
                    <w:br/>
                  </w:r>
                  <w:r>
                    <w:rPr>
                      <w:rFonts w:ascii="仿宋_GB2312" w:hAnsi="仿宋_GB2312" w:cs="仿宋_GB2312" w:eastAsia="仿宋_GB2312"/>
                      <w:sz w:val="22"/>
                      <w:color w:val="000000"/>
                    </w:rPr>
                    <w:t xml:space="preserve"> 32）支持多个维度的数据图形化统计，包含案件数量、案件状态、案件类型、检材数量、检材状态、检材类型、受理单位等统计。</w:t>
                  </w:r>
                  <w:r>
                    <w:br/>
                  </w:r>
                  <w:r>
                    <w:rPr>
                      <w:rFonts w:ascii="仿宋_GB2312" w:hAnsi="仿宋_GB2312" w:cs="仿宋_GB2312" w:eastAsia="仿宋_GB2312"/>
                      <w:sz w:val="22"/>
                      <w:color w:val="000000"/>
                    </w:rPr>
                    <w:t xml:space="preserve"> 33）需支持对取证流程所有资源文件集中存储与可视化展示功能，包括但不限于下载与批量下载</w:t>
                  </w:r>
                  <w:r>
                    <w:br/>
                  </w:r>
                  <w:r>
                    <w:rPr>
                      <w:rFonts w:ascii="仿宋_GB2312" w:hAnsi="仿宋_GB2312" w:cs="仿宋_GB2312" w:eastAsia="仿宋_GB2312"/>
                      <w:sz w:val="22"/>
                      <w:color w:val="000000"/>
                    </w:rPr>
                    <w:t xml:space="preserve"> 34）需支持自动记录取证流程所有文件资源的大小、操作时间、哈希值等</w:t>
                  </w:r>
                  <w:r>
                    <w:br/>
                  </w:r>
                  <w:r>
                    <w:rPr>
                      <w:rFonts w:ascii="仿宋_GB2312" w:hAnsi="仿宋_GB2312" w:cs="仿宋_GB2312" w:eastAsia="仿宋_GB2312"/>
                      <w:sz w:val="22"/>
                      <w:color w:val="000000"/>
                    </w:rPr>
                    <w:t xml:space="preserve"> 35）需支持取证流程不规范提醒功能；支持自动生成电子数据取证鉴定报告、笔录报告及相关文书报告；支持下载和打印功能（需提供加盖厂家公章的功能截图）</w:t>
                  </w:r>
                  <w:r>
                    <w:br/>
                  </w:r>
                  <w:r>
                    <w:rPr>
                      <w:rFonts w:ascii="仿宋_GB2312" w:hAnsi="仿宋_GB2312" w:cs="仿宋_GB2312" w:eastAsia="仿宋_GB2312"/>
                      <w:sz w:val="22"/>
                      <w:color w:val="000000"/>
                    </w:rPr>
                    <w:t xml:space="preserve"> 36）配置≥65寸可视化展示大屏一套。</w:t>
                  </w:r>
                  <w:r>
                    <w:br/>
                  </w:r>
                  <w:r>
                    <w:rPr>
                      <w:rFonts w:ascii="仿宋_GB2312" w:hAnsi="仿宋_GB2312" w:cs="仿宋_GB2312" w:eastAsia="仿宋_GB2312"/>
                      <w:sz w:val="22"/>
                      <w:color w:val="000000"/>
                    </w:rPr>
                    <w:t xml:space="preserve"> 37）★要求支持采集数据上传到 SIS 系统。支持与 SIS 系统进行数据联查与数据共享， 需提供上级公安机关或 SIS 生产厂家提供的系统接入证明。</w:t>
                  </w:r>
                </w:p>
              </w:tc>
              <w:tc>
                <w:tcPr>
                  <w:tcW w:type="dxa" w:w="1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134"/>
                  <w:vMerge/>
                  <w:tcBorders>
                    <w:top w:val="single" w:color="000000" w:sz="4"/>
                    <w:left w:val="single" w:color="000000" w:sz="4"/>
                    <w:bottom w:val="single" w:color="000000" w:sz="4"/>
                    <w:right w:val="single" w:color="000000" w:sz="4"/>
                  </w:tcBorders>
                </w:tcPr>
                <w:p/>
              </w:tc>
              <w:tc>
                <w:tcPr>
                  <w:tcW w:type="dxa" w:w="134"/>
                  <w:vMerge/>
                  <w:tcBorders>
                    <w:top w:val="single" w:color="000000" w:sz="4"/>
                    <w:left w:val="single" w:color="000000" w:sz="4"/>
                    <w:bottom w:val="single" w:color="000000" w:sz="4"/>
                    <w:right w:val="single" w:color="000000" w:sz="4"/>
                  </w:tcBorders>
                </w:tcPr>
                <w:p/>
              </w:tc>
              <w:tc>
                <w:tcPr>
                  <w:tcW w:type="dxa" w:w="2014"/>
                  <w:vMerge/>
                  <w:tcBorders>
                    <w:top w:val="single" w:color="000000" w:sz="4"/>
                    <w:left w:val="single" w:color="000000" w:sz="4"/>
                    <w:bottom w:val="single" w:color="000000" w:sz="4"/>
                    <w:right w:val="single" w:color="000000" w:sz="4"/>
                  </w:tcBorders>
                </w:tcPr>
                <w:p/>
              </w:tc>
              <w:tc>
                <w:tcPr>
                  <w:tcW w:type="dxa" w:w="134"/>
                  <w:vMerge/>
                  <w:tcBorders>
                    <w:top w:val="single" w:color="000000" w:sz="4"/>
                    <w:left w:val="single" w:color="000000" w:sz="4"/>
                    <w:bottom w:val="single" w:color="000000" w:sz="4"/>
                    <w:right w:val="single" w:color="000000" w:sz="4"/>
                  </w:tcBorders>
                </w:tcPr>
                <w:p/>
              </w:tc>
              <w:tc>
                <w:tcPr>
                  <w:tcW w:type="dxa" w:w="134"/>
                  <w:vMerge/>
                  <w:tcBorders>
                    <w:top w:val="single" w:color="000000" w:sz="4"/>
                    <w:left w:val="singl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345"/>
              <w:gridCol w:w="457"/>
              <w:gridCol w:w="871"/>
              <w:gridCol w:w="523"/>
              <w:gridCol w:w="351"/>
            </w:tblGrid>
            <w:tr>
              <w:tc>
                <w:tcPr>
                  <w:tcW w:type="dxa" w:w="2547"/>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澄城县公安局</w:t>
                  </w:r>
                  <w:r>
                    <w:rPr>
                      <w:rFonts w:ascii="仿宋_GB2312" w:hAnsi="仿宋_GB2312" w:cs="仿宋_GB2312" w:eastAsia="仿宋_GB2312"/>
                      <w:sz w:val="32"/>
                      <w:color w:val="000000"/>
                      <w:u w:val="single"/>
                    </w:rPr>
                    <w:t>计算机</w:t>
                  </w:r>
                  <w:r>
                    <w:rPr>
                      <w:rFonts w:ascii="仿宋_GB2312" w:hAnsi="仿宋_GB2312" w:cs="仿宋_GB2312" w:eastAsia="仿宋_GB2312"/>
                      <w:sz w:val="32"/>
                      <w:color w:val="000000"/>
                    </w:rPr>
                    <w:t>采购项目清单</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w:t>
                  </w:r>
                </w:p>
              </w:tc>
              <w:tc>
                <w:tcPr>
                  <w:tcW w:type="dxa" w:w="8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参数</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计算机</w:t>
                  </w:r>
                </w:p>
              </w:tc>
              <w:tc>
                <w:tcPr>
                  <w:tcW w:type="dxa" w:w="8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兆芯6780A/16G/512SSD/23.8显示器/国产系统/办公套件/公安网业务适配★提供关于新警综，智慧法治，陕西省第二代居民身份证相片质量检测平台，陕西省实有人口数据，户籍系统，派出所综合管理系统，绿色浏览器等业务系统适配证明。</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64 </w:t>
                  </w:r>
                </w:p>
              </w:tc>
            </w:tr>
          </w:tbl>
          <w:p>
            <w:pPr>
              <w:pStyle w:val="null3"/>
              <w:jc w:val="center"/>
            </w:pPr>
            <w:r>
              <w:rPr>
                <w:rFonts w:ascii="仿宋_GB2312" w:hAnsi="仿宋_GB2312" w:cs="仿宋_GB2312" w:eastAsia="仿宋_GB2312"/>
                <w:sz w:val="36"/>
              </w:rPr>
              <w:t>澄城县公安局计算机采购项目主要技术参数</w:t>
            </w:r>
          </w:p>
          <w:p>
            <w:pPr>
              <w:pStyle w:val="null3"/>
              <w:jc w:val="both"/>
            </w:pPr>
            <w:r>
              <w:rPr>
                <w:rFonts w:ascii="仿宋_GB2312" w:hAnsi="仿宋_GB2312" w:cs="仿宋_GB2312" w:eastAsia="仿宋_GB2312"/>
                <w:sz w:val="32"/>
              </w:rPr>
              <w:t>国产自主品牌，非</w:t>
            </w:r>
            <w:r>
              <w:rPr>
                <w:rFonts w:ascii="仿宋_GB2312" w:hAnsi="仿宋_GB2312" w:cs="仿宋_GB2312" w:eastAsia="仿宋_GB2312"/>
                <w:sz w:val="32"/>
              </w:rPr>
              <w:t>0EM;处理器：≥1颗兆芯KX-U6780A国产处理器，单；CPU主频≥2.7GHz,单CPU核数≥8；内存：≥16GB DDR4内存；硬盘：≥1块512NVMe SSD；网络：≥1个千兆电口；1/0扩展：  4个USB3.0接口，≥2个USB2.0接口：包含麒麟系统，wps福昕ofd软件（提供厂家授权否则视为不满足）带★内容须提供截图加盖公章，否则视为不满 足）：</w:t>
            </w:r>
          </w:p>
          <w:p>
            <w:pPr>
              <w:pStyle w:val="null3"/>
              <w:ind w:firstLine="640"/>
              <w:jc w:val="both"/>
            </w:pPr>
            <w:r>
              <w:rPr>
                <w:rFonts w:ascii="仿宋_GB2312" w:hAnsi="仿宋_GB2312" w:cs="仿宋_GB2312" w:eastAsia="仿宋_GB2312"/>
                <w:sz w:val="32"/>
              </w:rPr>
              <w:t>★在国产系统下可实现批量远程命令执行；管理员可以批量 发送远程命令或脚本设置，由终端进行执行，从而实现对终端的 批量管理和维护。（可满足公安数字证书国密、非国密驱动及相 关插件安装要求） ★全文检索：终端在国产系统下可以实现文件名及文件内容 （文档类）的全文检索功能。1 万个文件的全文检索速度在 3 秒以内。（审讯笔录整理要求） ★在国产系统下可实现终端间的文件和文件夹传输通过文 件传输码的方式，实现各终端间可以一对一或者一对多的文件及 文件夹分享和传输，便捷整个网络内的数据交互。（数据迁移要求）★在国产系统下可实现个性化文件的实时备份各终端可以 对个性化文件（默认各文档类文件）进行备份，从而避免了个性 化文件的丢失和损坏。（数据备份要求） ★在国产系统下可实现基本操作系统的分发通过多镜像的 方式，能够实现操作系统向终端的分发，分发后，自动匹配 IP 地 址及系统唯一标识。极大方便了多型多个终端的安装和维护。（系统升级要求） ★支持所有外设包含打印机扫描仪设备：支持扫描仪的驱动和扫描（外设适配） ★可在国产系统下使用公安双向交换盘。并精细化管理 USB 口：可以对 USB 接口统一配置，也可根据终端使用部门的不同进行不同策略配置，针对不同的外设进行精细化设置管理。从驱动层对移动存储设备、便携式设备软驱、并口、串口、调制解调 器、行为控制设备控制打印机、扫描器、手机、声卡、智能卡等接入设备控制，通过白名单的方式，在禁用移动存储设备时不影 响 USB 接口鼠标键盘打印机的使用；违规外联。 ★提供关于新警综，智慧法治，陕西省第二代居民身份证相片质量检测平台，陕西省实有人口数据，户籍系统，派出所综合管理系统，绿色浏览器等业务系统适配证明</w:t>
            </w:r>
            <w:r>
              <w:rPr>
                <w:rFonts w:ascii="仿宋_GB2312" w:hAnsi="仿宋_GB2312" w:cs="仿宋_GB2312" w:eastAsia="仿宋_GB2312"/>
                <w:sz w:val="32"/>
              </w:rPr>
              <w:t>。</w:t>
            </w:r>
            <w:r>
              <w:rPr>
                <w:rFonts w:ascii="仿宋_GB2312" w:hAnsi="仿宋_GB2312" w:cs="仿宋_GB2312" w:eastAsia="仿宋_GB2312"/>
                <w:sz w:val="32"/>
              </w:rPr>
              <w:t>▲基于统一版本的内核设计开发，同时 支持不同硬件平台</w:t>
            </w:r>
            <w:r>
              <w:rPr>
                <w:rFonts w:ascii="仿宋_GB2312" w:hAnsi="仿宋_GB2312" w:cs="仿宋_GB2312" w:eastAsia="仿宋_GB2312"/>
                <w:sz w:val="32"/>
              </w:rPr>
              <w:t>。</w:t>
            </w:r>
            <w:r>
              <w:rPr>
                <w:rFonts w:ascii="仿宋_GB2312" w:hAnsi="仿宋_GB2312" w:cs="仿宋_GB2312" w:eastAsia="仿宋_GB2312"/>
                <w:sz w:val="32"/>
              </w:rPr>
              <w:t>▲提供安全中心管控工具，提供图形化应用执行控制工具，具有检查应用程序完整性、来源等功能；</w:t>
            </w:r>
          </w:p>
          <w:p>
            <w:pPr>
              <w:pStyle w:val="null3"/>
              <w:jc w:val="both"/>
            </w:pPr>
            <w:r>
              <w:rPr>
                <w:rFonts w:ascii="仿宋_GB2312" w:hAnsi="仿宋_GB2312" w:cs="仿宋_GB2312" w:eastAsia="仿宋_GB2312"/>
                <w:sz w:val="32"/>
              </w:rPr>
              <w:t>▲可提供安全增强组件，支持增加三权分立、白名单控制等安全功能，可增强至 国家认证的安全保护级别，结构化保护四 级；▲兼容主流整机、外设和桌面生态软 件，提供自研类似现有桌面操作系统的UKUI 轻量级图形化人机交互环境和 Kysec 安全机制；终身正版，三年免费售后服务。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合同签订生效后15天内需要物品配送到位、验收完成；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合同签订生效后15天内需要物品配送到位、验收完成；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澄城县公安局指定地点。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澄城县公安局指定地点。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货物配送到位,验收完成后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货物配送到位,验收完成后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（1）货物到达采购人指定地点后，由采购人组织双方参与方式对货物进行验收，须满足招标文件、投标响应及合同约定相关要求，且须符合国家、行业规定的相关标准和国家质检要求，一次性自行验收。 （2）货物供应渠道正规、稳定且质量有保证，检验手续合法有效，具备完善的管理制度流程； （3）对于验收不合格的产品应及时退回供应商，同时做好相关记录。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（1）货物到达采购人指定地点后，由采购人组织双方参与方式对货物进行验收，须满足招标文件、投标响应及合同约定相关要求，且须符合国家、行业规定的相关标准和国家质检要求，一次性自行验收。 （2）货物供应渠道正规、稳定且质量有保证，检验手续合法有效，具备完善的管理制度流程； （3）对于验收不合格的产品应及时退回供应商，同时做好相关记录。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质量保修范围:本项目采购的全部货物 保修期：一年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质量保修范围：本项目采购的全部货物 保修期：一年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法定代表人身份证明及法定代表人授权委托书.docx 中小企业声明函 商务应答表 供货服务方案.docx 投标人应提交的相关资格证明材料 产品技术参数表 分项报价表.docx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法定代表人身份证明及法定代表人授权委托书.docx 中小企业声明函 商务应答表 供货服务方案.docx 投标人应提交的相关资格证明材料 产品技术参数表 分项报价表.docx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明确配置齐全、功能满足招标文件要求，对每个要求逐条进行明确响应，技术指标全部响应，没有负偏离得基础分30分，带“★”的参数需求为实质性要求，供应商必须响应并满足的参数需求,其他参数需求每负偏离1项扣1.5分。扣完为止，不计负分。 备注：供应商须在“产品技术偏离表”中对技术参数进行逐条响应，并提供拟供产品相关技术参数证明材料，包括但不限于产品宣传彩页、官网截图、检测报告等，产品技术证明材料未体现相关技术参数视为负偏离，按上述标准扣分，未提供产品技术参数证明材料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根据本项目实际需求及特点，制定实施方案，实施方案内容包含①项目实施图及布局图、进度计划；②供货、安装、调试；③验收措施计划。 （二）评审标准 1、完整性：方案须全面，对评审内容中的各项要求有详细描述及说明； 2、可实施性：切合本项目实际情况，实施步骤清晰、合理； 3、针对性：方案能够紧扣项目实际情况，内容科学合理。 （三）赋分标准（满分9分） ①项目实施图及布局图、进度计划：每完全满足一项评审标准得1分，满分3分； ②供货、安装、调试：每完全满足一项评审标准得1分，满分3分； ③验收措施计划：每完全满足一项评审标准得1分，满分3分。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针对本项目提供保障措施，包括但不限于①合理的进度计划安排②质量保障措施及承诺③安全保证措施完善。 (二)评审标准 1、完整性：方案须全面，对评审内容中的各项要求有详细描述及说明； 2、可实施性：切合本项目实际情况，实施步骤清晰、合理； 3、针对性：方案能够紧扣项目实际情况，内容科学合理。 (三)赋分标准（满分9分） ①合理的进度计划安排：每完全满足一项评审标准得1分，满分3分； ②质量保障措施及承诺：每完全满足一项评审标准得1分，满分3分； ③安全保证措施完善：每完全满足一项评审标准得1分，满分3分。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根据本项目特点制定应急方案，方案应包括但不限于①应急供货方案②其他应急突发状况处置措施。 (二)评审标准 1、完整性：方案须全面，对评审内容中的各项要求有详细描述及说明； 2、可实施性：切合本项目实际情况，实施步骤清晰、合理； 3、针对性：方案能够紧扣项目实际情况，内容科学合理。 (三)赋分标准（满分6分） ①应急供货方案：每完全满足一项评审标准得1分，满分3分； ②其他应急突发状况处置措施：每完全满足一项评审标准得1分，满分3分；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（一）评审内容 根据本项目制定技术培训，方案应包括但不限于①技术培训方案②培训内容、方式等。 （二）评审标准 1、完整性：方案须全面，对评审内容中的各项要求有详细描述及说明； 2、可实施性：切合本项目实际情况，实施步骤清晰、合理； 3、针对性：方案能够紧扣项目实际情况，内容科学合理。 （三）赋分标准（满分6分） ①技术培训方案：每完全满足一项评审标准得1分，满分3分； ②培训内容、方式等：每完全满足一项评审标准得1分，满分3分；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(一)评审内容 针对本项目提供具体可行的售后服务，包括：①针对本项目的售后质量保证方案及承诺；②具有建全的售后服务机构、配备专职配送人员及应急处理人员。 （二）评审标准 1、完整性：方案须全面，对评审内容中的各项要求有详细描述及说明； 2、可实施性：切合本项目实际情况，实施步骤清晰、合理； 3、针对性：方案能够紧扣项目实际情况，内容科学合理。 （三）赋分标准（满分6分） ①针对本项目的售后质量保证方案及承诺：每完全满足一项评审标准得1分，满分3分； ②具有建全的售后服务机构、配备专职配送人员及应急处理人员：每完全满足一项评审标准得1分，满分3分；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供应商2023年1月1日至今同类项目业绩，每提供1份得1分，最高得4分；业绩证明（以合同或中标通知书为准，须在投标文件中附合同或中标通知书的扫描件加盖单位公章）弄虚作假者，取消其中标资格。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产品性能参数响应情况</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26分；带“★”的参数需求为实质性要求，供应商必须响应并满足的参数需求，带“▲”号条款为允许负偏离的参数需求，每负偏离一项扣1分，扣完为止。 备注1.指标须提供相应的证明材料（包括但不限于检测报告、产品彩页、产品说明书、认证证书、官网截图等任意一项证明材料即可），未提供或提供的证明材料不符合要求视为负偏离。 2.完全复制招标交件技术参数要求的，将给予5分扣分，文字描述、国标定制尺寸的技术指标除外。</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总体实施方案、项目团队方案、项目应急预案、项目实施安全方案、系统安装调试方案、项目验收方案等内容措施完善，并针对本项目特点做出合理计划及调配，由专业的技术人员提供服务，并帮助采购人将设备调试到最佳使用状态，能保证项目的顺利运行。 组织实施、供货方案完备、合理、切实可行,得15分； 组织实施、供货方案较完备、合理、基本可行，得10分； 组织实施、供货方案较差，得5分。未提供不得分。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制造厂家有可靠、完备的质量管理体系、足够的设计、工艺、加工、检验能力，设备的质量符合国际、国家的标准和有关规定，提供主要产品的使用说明，以上资料提供完备得5分，每缺一项扣1分，未提供不得分。 供应商须提供所投产品制造厂商的检测报告（提供复印件加盖供应商单位公章），提供得5分，不提供不得分。 供应商须所投产品如有偏离指标项，一项扣0.5分，满分3分，完全满足的得3分。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投标人的应急事故响应及处理方案（①如可能发生的应急事故情况分析；②应急响应时间；③紧急安全保障措施）等进行综合评审：提供完整应急事故响应及处理方案等且内容完整，方案先进合理的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(一)评审内容 针对本项目提供具体可行的售后服务，包括：①针对本项目的售后质量保证方案及承诺；②具有建全的售后服务机构及配备专职配送人员。 (二)评审标准 1、完整性：方案须全面，对评审内容中的各项要求有详细描述及说明； 2、可实施性：切合本项目实际情况，实施步骤清晰、合理； 3、针对性：方案能够紧扣项目实际情况，内容科学合理。 (三)赋分标准（满分6分） ①针对本项目的售后质量保证方案及承诺；：每完全满足一项评审标准得1分，满分3分； ②具有建全的售后服务机构及配备专职配送人员及应急处理人员：每完全满足一项评审标准得1分，满分3分；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供应商2023年1月1日至今同类项目业绩，每提供1份得1分，最高得4分；业绩证明（以合同或中标通知书为准，须在投标文件中附合同或中标通知书的扫描件加盖单位公章）弄虚作假者，取消其中标资格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详见附件：供货服务方案.docx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详见附件：供货服务方案.docx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