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版本号：CZCWZZF(2025)YXJD-120250911002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澄城县西北（第一）野战军第六次前委会议革命旧址研学基地建设项目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CZCWZZF(2025)YXJD-1</w:t>
      </w:r>
      <w:r>
        <w:br/>
      </w:r>
      <w:r>
        <w:br/>
      </w:r>
      <w:r>
        <w:br/>
      </w:r>
    </w:p>
    <w:p>
      <w:pPr>
        <w:pStyle w:val="null3"/>
        <w:jc w:val="center"/>
        <w:outlineLvl w:val="2"/>
      </w:pPr>
      <w:r>
        <w:rPr>
          <w:rFonts w:ascii="仿宋_GB2312" w:hAnsi="仿宋_GB2312" w:cs="仿宋_GB2312" w:eastAsia="仿宋_GB2312"/>
          <w:sz w:val="28"/>
          <w:b/>
        </w:rPr>
        <w:t>澄城县王庄镇人民政府</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澄城县王庄镇人民政府</w:t>
      </w:r>
      <w:r>
        <w:rPr>
          <w:rFonts w:ascii="仿宋_GB2312" w:hAnsi="仿宋_GB2312" w:cs="仿宋_GB2312" w:eastAsia="仿宋_GB2312"/>
        </w:rPr>
        <w:t>委托，拟对</w:t>
      </w:r>
      <w:r>
        <w:rPr>
          <w:rFonts w:ascii="仿宋_GB2312" w:hAnsi="仿宋_GB2312" w:cs="仿宋_GB2312" w:eastAsia="仿宋_GB2312"/>
        </w:rPr>
        <w:t>澄城县西北（第一）野战军第六次前委会议革命旧址研学基地建设项目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CZCWZZF(2025)YXJD-1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澄城县西北（第一）野战军第六次前委会议革命旧址研学基地建设项目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477.18平方米红色党性教育研学基地一座及配套设施、内部陈列布展，增置游客服务中心配套设施等，项目完成后有利于保护和传承革命历史文化遗产，有效发挥党性示范带动教育作用，有利于带动革命老区经济社会协同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采购包1（澄城县西北（第一）野战军第六次前委会议革命旧址研学基地建设项目）：属于专门面向中小企业采购。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2024年度供应商完整的全套财务报表（应当包括资产负债表、利润表、现金流量表、所有者权益变动表、附注）或提供截至资格预审申请文件提交截止日一年内银行出具的资信证明 (供应商注册时间截至资格预审申请文件提交截止日不足一年的，也可提供在工商管理部门备案的公司章程）；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p>
      <w:pPr>
        <w:pStyle w:val="null3"/>
      </w:pPr>
      <w:r>
        <w:rPr>
          <w:rFonts w:ascii="仿宋_GB2312" w:hAnsi="仿宋_GB2312" w:cs="仿宋_GB2312" w:eastAsia="仿宋_GB2312"/>
        </w:rPr>
        <w:t>8、供应商资质：供应商具备建设行政主管部门颁发的建筑工程施工总承包三级及以上资质，且具备有效的安全生产许可证；</w:t>
      </w:r>
    </w:p>
    <w:p>
      <w:pPr>
        <w:pStyle w:val="null3"/>
      </w:pPr>
      <w:r>
        <w:rPr>
          <w:rFonts w:ascii="仿宋_GB2312" w:hAnsi="仿宋_GB2312" w:cs="仿宋_GB2312" w:eastAsia="仿宋_GB2312"/>
        </w:rPr>
        <w:t>9、项目经理资质：项目经理须具有建筑工程专业二级及以上注册建造师证书和有效的安全生产考核合格证书，且未担任其他在建工程的项目经理；</w:t>
      </w:r>
    </w:p>
    <w:p>
      <w:pPr>
        <w:pStyle w:val="null3"/>
      </w:pPr>
      <w:r>
        <w:rPr>
          <w:rFonts w:ascii="仿宋_GB2312" w:hAnsi="仿宋_GB2312" w:cs="仿宋_GB2312" w:eastAsia="仿宋_GB2312"/>
        </w:rPr>
        <w:t>10、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11、非联合体投标：本项目不接受联合体投标。单位负责人为同一人或者存在直接控股、管理关系的不同供应商，不得参加同一合同项下的政府采购活动；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澄城县王庄镇人民政府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澄城县王庄镇王庄街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15929290383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澄城县王庄镇人民政府</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澄城县王庄镇人民政府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澄城县王庄镇人民政府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澄城县王庄镇人民政府</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澄城县王庄镇人民政府</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澄城县王庄镇人民政府</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联系人：翟先生</w:t>
      </w:r>
    </w:p>
    <w:p>
      <w:pPr>
        <w:pStyle w:val="null3"/>
      </w:pPr>
      <w:r>
        <w:rPr>
          <w:rFonts w:ascii="仿宋_GB2312" w:hAnsi="仿宋_GB2312" w:cs="仿宋_GB2312" w:eastAsia="仿宋_GB2312"/>
        </w:rPr>
        <w:t>联系电话：15929290383</w:t>
      </w:r>
    </w:p>
    <w:p>
      <w:pPr>
        <w:pStyle w:val="null3"/>
      </w:pPr>
      <w:r>
        <w:rPr>
          <w:rFonts w:ascii="仿宋_GB2312" w:hAnsi="仿宋_GB2312" w:cs="仿宋_GB2312" w:eastAsia="仿宋_GB2312"/>
        </w:rPr>
        <w:t>地址：澄城县王庄镇人民政府</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2,997,994.45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澄城县西北（第一）野战军第六次前委会议革命旧址研学基地建设项目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标的名称：澄城县西北（第一）野战军第六次前委会议革命旧址研学基地建设项目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1、施工范围:工程量清单所包含的全部内容</w:t>
            </w:r>
            <w:r>
              <w:br/>
            </w:r>
            <w:r>
              <w:rPr>
                <w:rFonts w:ascii="仿宋_GB2312" w:hAnsi="仿宋_GB2312" w:cs="仿宋_GB2312" w:eastAsia="仿宋_GB2312"/>
              </w:rPr>
              <w:t xml:space="preserve">  2、工期:自合同签订之日起180日历天；质保：1年</w:t>
            </w:r>
            <w:r>
              <w:br/>
            </w:r>
            <w:r>
              <w:rPr>
                <w:rFonts w:ascii="仿宋_GB2312" w:hAnsi="仿宋_GB2312" w:cs="仿宋_GB2312" w:eastAsia="仿宋_GB2312"/>
              </w:rPr>
              <w:t xml:space="preserve">  3、质量标准:符合国家现行有关施工质量验收规范“合格”要求标准</w:t>
            </w:r>
            <w:r>
              <w:br/>
            </w:r>
            <w:r>
              <w:rPr>
                <w:rFonts w:ascii="仿宋_GB2312" w:hAnsi="仿宋_GB2312" w:cs="仿宋_GB2312" w:eastAsia="仿宋_GB2312"/>
              </w:rPr>
              <w:t xml:space="preserve">  4、其他需说明的事项:</w:t>
            </w:r>
            <w:r>
              <w:rPr>
                <w:rFonts w:ascii="仿宋_GB2312" w:hAnsi="仿宋_GB2312" w:cs="仿宋_GB2312" w:eastAsia="仿宋_GB2312"/>
              </w:rPr>
              <w:t>本工程采用招标控制价电子版本:广联达版本号7.5000.23.1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供应商根据项目实施要求对施工方案、施工部署、施工进度计划、项目管理机构、质量保证措施、安全文明施工措施、施工承诺、新材料新工艺及业绩等内容进行响应。具体内容详见项目评审办法。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2024年度供应商完整的全套财务报表（应当包括资产负债表、利润表、现金流量表、所有者权益变动表、附注）或提供截至资格预审申请文件提交截止日一年内银行出具的资信证明 (供应商注册时间截至资格预审申请文件提交截止日不足一年的，也可提供在工商管理部门备案的公司章程）；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项目经理须具有建筑工程专业二级及以上注册建造师证书和有效的安全生产考核合格证书，且未担任其他在建工程的项目经理；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法定代表人身份证明及法定代表人授权委托书.docx 已标价工程量清单 中小企业声明函 技术服务合同条款及其他商务要求应答表 供应商应提交的相关资格证明材料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法定代表人身份证明及法定代表人授权委托书.docx 已标价工程量清单 中小企业声明函 技术服务合同条款及其他商务要求应答表 供应商应提交的相关资格证明材料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三、赋分标准（满分9分） ①管理机构的配备计划：每完全满足一个评审标准得1.5分，满分4.5分； ②组织机构的岗位职责：每完全满足一个评审标准得1.5分，满分4.5分。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供应商提供2023年1月起至今的类似业绩证明材料，时间以合同签订日期为准，（文件中附合同复印件），每提供一项上述业绩的得1分，最高得4分。不提供或缺项不得分。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