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版本号：ZY2025-09-0220250905001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澄城县体育公园（晖福公园）提升改造建设项目初步设计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ZY2025-09-02</w:t>
      </w:r>
      <w:r>
        <w:br/>
      </w:r>
      <w:r>
        <w:br/>
      </w:r>
      <w:r>
        <w:br/>
      </w:r>
    </w:p>
    <w:p>
      <w:pPr>
        <w:pStyle w:val="null3"/>
        <w:jc w:val="center"/>
        <w:outlineLvl w:val="2"/>
      </w:pPr>
      <w:r>
        <w:rPr>
          <w:rFonts w:ascii="仿宋_GB2312" w:hAnsi="仿宋_GB2312" w:cs="仿宋_GB2312" w:eastAsia="仿宋_GB2312"/>
          <w:sz w:val="28"/>
          <w:b/>
        </w:rPr>
        <w:t>澄城县体育运动中心</w:t>
      </w:r>
    </w:p>
    <w:p>
      <w:pPr>
        <w:pStyle w:val="null3"/>
        <w:jc w:val="center"/>
        <w:outlineLvl w:val="2"/>
      </w:pPr>
      <w:r>
        <w:rPr>
          <w:rFonts w:ascii="仿宋_GB2312" w:hAnsi="仿宋_GB2312" w:cs="仿宋_GB2312" w:eastAsia="仿宋_GB2312"/>
          <w:sz w:val="28"/>
          <w:b/>
        </w:rPr>
        <w:t>陕西正亚项目管理有限公司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陕西正亚项目管理有限公司</w:t>
      </w:r>
      <w:r>
        <w:rPr>
          <w:rFonts w:ascii="仿宋_GB2312" w:hAnsi="仿宋_GB2312" w:cs="仿宋_GB2312" w:eastAsia="仿宋_GB2312"/>
        </w:rPr>
        <w:t>（以下简称“代理机构”）受</w:t>
      </w:r>
      <w:r>
        <w:rPr>
          <w:rFonts w:ascii="仿宋_GB2312" w:hAnsi="仿宋_GB2312" w:cs="仿宋_GB2312" w:eastAsia="仿宋_GB2312"/>
        </w:rPr>
        <w:t>澄城县体育运动中心</w:t>
      </w:r>
      <w:r>
        <w:rPr>
          <w:rFonts w:ascii="仿宋_GB2312" w:hAnsi="仿宋_GB2312" w:cs="仿宋_GB2312" w:eastAsia="仿宋_GB2312"/>
        </w:rPr>
        <w:t>委托，拟对</w:t>
      </w:r>
      <w:r>
        <w:rPr>
          <w:rFonts w:ascii="仿宋_GB2312" w:hAnsi="仿宋_GB2312" w:cs="仿宋_GB2312" w:eastAsia="仿宋_GB2312"/>
        </w:rPr>
        <w:t>澄城县体育公园（晖福公园）提升改造建设项目初步设计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ZY2025-09-02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澄城县体育公园（晖福公园）提升改造建设项目初步设计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澄城县体育公园（晖福公园）提升改造建设项目初步设计、施工图设计，具体内容详见磋商文件第3章。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采购包1（澄城县体育公园（晖福公园）提升改造建设项目初步设计）：属于专门面向中小企业采购。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 求填写《响应函》完成承诺并进行电子签章。提供直接控股和直接管理关系清单。若与其他投标人存在单位负责人为 同一人或者存在直接控股、管理关系的，则投标无效。</w:t>
      </w:r>
    </w:p>
    <w:p>
      <w:pPr>
        <w:pStyle w:val="null3"/>
      </w:pPr>
      <w:r>
        <w:rPr>
          <w:rFonts w:ascii="仿宋_GB2312" w:hAnsi="仿宋_GB2312" w:cs="仿宋_GB2312" w:eastAsia="仿宋_GB2312"/>
        </w:rPr>
        <w:t>2、法定代表人授权委托书：法定代表人参加投标的，须出示身份证；法定代表人授权他人参加投标的，须提供法定代表人授权委托书、被授权人身份证。</w:t>
      </w:r>
    </w:p>
    <w:p>
      <w:pPr>
        <w:pStyle w:val="null3"/>
      </w:pPr>
      <w:r>
        <w:rPr>
          <w:rFonts w:ascii="仿宋_GB2312" w:hAnsi="仿宋_GB2312" w:cs="仿宋_GB2312" w:eastAsia="仿宋_GB2312"/>
        </w:rPr>
        <w:t>3、本项目专门面向中小微企业采购：本项目专门面向中小微企业采购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澄城县体育运动中心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古徵街南段新体育场内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0913-6736500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陕西省西安市未央区陕西省西安市经济技术开发区明光路凤城六路旭弘西北广场第15层1501室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谢璐瑶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17791522074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王晓锋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15594255525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采购包1：317,600.00元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代理服务费收费标准：1、参照国家计委计价格[2002]1980号及发改办价格[2003]857号通知规定，由中标人支付招标代理服务费。 2、支付方式：中标人应在领取通知书的同时，向陕西正亚项目管理有限公司交纳本项目招标代理服务费。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澄城县体育运动中心</w:t>
      </w:r>
      <w:r>
        <w:rPr>
          <w:rFonts w:ascii="仿宋_GB2312" w:hAnsi="仿宋_GB2312" w:cs="仿宋_GB2312" w:eastAsia="仿宋_GB2312"/>
        </w:rPr>
        <w:t>和</w:t>
      </w:r>
      <w:r>
        <w:rPr>
          <w:rFonts w:ascii="仿宋_GB2312" w:hAnsi="仿宋_GB2312" w:cs="仿宋_GB2312" w:eastAsia="仿宋_GB2312"/>
        </w:rPr>
        <w:t>陕西正亚项目管理有限公司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澄城县体育运动中心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澄城县体育运动中心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联系人：谢璐瑶</w:t>
      </w:r>
    </w:p>
    <w:p>
      <w:pPr>
        <w:pStyle w:val="null3"/>
      </w:pPr>
      <w:r>
        <w:rPr>
          <w:rFonts w:ascii="仿宋_GB2312" w:hAnsi="仿宋_GB2312" w:cs="仿宋_GB2312" w:eastAsia="仿宋_GB2312"/>
        </w:rPr>
        <w:t>联系电话：17791522074</w:t>
      </w:r>
    </w:p>
    <w:p>
      <w:pPr>
        <w:pStyle w:val="null3"/>
      </w:pPr>
      <w:r>
        <w:rPr>
          <w:rFonts w:ascii="仿宋_GB2312" w:hAnsi="仿宋_GB2312" w:cs="仿宋_GB2312" w:eastAsia="仿宋_GB2312"/>
        </w:rPr>
        <w:t>地址：陕西省西安市未央区陕西省西安市经济技术开发区明光路凤城六路旭弘西北广场第15层1501室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依据：计价格[2002]10号_《工程勘察设计收费管理规定》、发改价格[2015]299号《关于进一步放开建设项目专业服务价格的通知》，本项目为澄城县体育公园（晖福公园）提升改造建设项目，总占地 172.4 亩（约合 114931 ㎡），拟建设常规球场、健身步道、广场与器械、儿童活动设施及相关公共服务设施等，项目建成后绿化率达 70%。 总投资及资金来源：项目总投资1280.72 万元，其中：工程费用1076.06万元，资金来源为申请中央预算内投资及建设单位自筹解决。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317,600.00</w:t>
      </w:r>
    </w:p>
    <w:p>
      <w:pPr>
        <w:pStyle w:val="null3"/>
      </w:pPr>
      <w:r>
        <w:rPr>
          <w:rFonts w:ascii="仿宋_GB2312" w:hAnsi="仿宋_GB2312" w:cs="仿宋_GB2312" w:eastAsia="仿宋_GB2312"/>
        </w:rPr>
        <w:t>采购包最高限价（元）: 317,600.00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澄城县体育公园（晖福公园）提升改造建设项目初步设计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317,600.00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标的名称：澄城县体育公园（晖福公园）提升改造建设项目初步设计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一、基本要求</w:t>
            </w:r>
          </w:p>
          <w:p>
            <w:pPr>
              <w:pStyle w:val="null3"/>
              <w:ind w:firstLine="560"/>
              <w:jc w:val="both"/>
            </w:pPr>
            <w:r>
              <w:rPr>
                <w:rFonts w:ascii="仿宋_GB2312" w:hAnsi="仿宋_GB2312" w:cs="仿宋_GB2312" w:eastAsia="仿宋_GB2312"/>
                <w:sz w:val="28"/>
              </w:rPr>
              <w:t>1、功能要求：</w:t>
            </w:r>
            <w:r>
              <w:rPr>
                <w:rFonts w:ascii="仿宋_GB2312" w:hAnsi="仿宋_GB2312" w:cs="仿宋_GB2312" w:eastAsia="仿宋_GB2312"/>
                <w:sz w:val="28"/>
              </w:rPr>
              <w:t>完成</w:t>
            </w:r>
            <w:r>
              <w:rPr>
                <w:rFonts w:ascii="仿宋_GB2312" w:hAnsi="仿宋_GB2312" w:cs="仿宋_GB2312" w:eastAsia="仿宋_GB2312"/>
                <w:sz w:val="28"/>
              </w:rPr>
              <w:t>澄城县体育公园（晖福公园）提升改造建设项目初步设计</w:t>
            </w:r>
            <w:r>
              <w:rPr>
                <w:rFonts w:ascii="仿宋_GB2312" w:hAnsi="仿宋_GB2312" w:cs="仿宋_GB2312" w:eastAsia="仿宋_GB2312"/>
                <w:sz w:val="28"/>
              </w:rPr>
              <w:t>，取得相关管理部门批复</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、服务期限：</w:t>
            </w:r>
            <w:r>
              <w:rPr>
                <w:rFonts w:ascii="仿宋_GB2312" w:hAnsi="仿宋_GB2312" w:cs="仿宋_GB2312" w:eastAsia="仿宋_GB2312"/>
                <w:sz w:val="28"/>
                <w:color w:val="000000"/>
                <w:shd w:fill="FFFFFF" w:val="clear"/>
              </w:rPr>
              <w:t>自合同签订之日起</w:t>
            </w:r>
            <w:r>
              <w:rPr>
                <w:rFonts w:ascii="仿宋_GB2312" w:hAnsi="仿宋_GB2312" w:cs="仿宋_GB2312" w:eastAsia="仿宋_GB2312"/>
                <w:sz w:val="28"/>
                <w:color w:val="000000"/>
                <w:shd w:fill="FFFFFF" w:val="clear"/>
              </w:rPr>
              <w:t>60日历日交付设计成果</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、服务地点：</w:t>
            </w:r>
            <w:r>
              <w:rPr>
                <w:rFonts w:ascii="仿宋_GB2312" w:hAnsi="仿宋_GB2312" w:cs="仿宋_GB2312" w:eastAsia="仿宋_GB2312"/>
                <w:sz w:val="28"/>
              </w:rPr>
              <w:t>渭南市澄城县</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二、需执行的国家相关标准、行业标准、地方标准或者其他标准、规范标准</w:t>
            </w:r>
          </w:p>
          <w:p>
            <w:pPr>
              <w:pStyle w:val="null3"/>
              <w:ind w:firstLine="560"/>
              <w:jc w:val="both"/>
            </w:pPr>
            <w:r>
              <w:rPr>
                <w:rFonts w:ascii="仿宋_GB2312" w:hAnsi="仿宋_GB2312" w:cs="仿宋_GB2312" w:eastAsia="仿宋_GB2312"/>
                <w:sz w:val="28"/>
              </w:rPr>
              <w:t>执行最新标准、规范。</w:t>
            </w:r>
          </w:p>
          <w:p>
            <w:pPr>
              <w:pStyle w:val="null3"/>
              <w:ind w:firstLine="560"/>
              <w:jc w:val="both"/>
            </w:pPr>
            <w:r>
              <w:rPr>
                <w:rFonts w:ascii="仿宋_GB2312" w:hAnsi="仿宋_GB2312" w:cs="仿宋_GB2312" w:eastAsia="仿宋_GB2312"/>
                <w:sz w:val="28"/>
              </w:rPr>
              <w:t>三、服务指标的具体要求</w:t>
            </w:r>
          </w:p>
          <w:p>
            <w:pPr>
              <w:pStyle w:val="null3"/>
              <w:ind w:firstLine="560"/>
              <w:jc w:val="both"/>
            </w:pPr>
            <w:r>
              <w:rPr>
                <w:rFonts w:ascii="仿宋_GB2312" w:hAnsi="仿宋_GB2312" w:cs="仿宋_GB2312" w:eastAsia="仿宋_GB2312"/>
                <w:sz w:val="28"/>
              </w:rPr>
              <w:t>1、服务项目概况</w:t>
            </w:r>
            <w:r>
              <w:rPr>
                <w:rFonts w:ascii="仿宋_GB2312" w:hAnsi="仿宋_GB2312" w:cs="仿宋_GB2312" w:eastAsia="仿宋_GB2312"/>
                <w:sz w:val="28"/>
              </w:rPr>
              <w:t>：依据：计价格</w:t>
            </w:r>
            <w:r>
              <w:rPr>
                <w:rFonts w:ascii="仿宋_GB2312" w:hAnsi="仿宋_GB2312" w:cs="仿宋_GB2312" w:eastAsia="仿宋_GB2312"/>
                <w:sz w:val="28"/>
              </w:rPr>
              <w:t>[2002]10号_《工程勘察设计收费管理规定》、发改价格[2015]299号《关于进一步放开建设项目专业服务价格的通知》，本项目为澄城县体育公园（晖福公园）提升改造建设项目，总占地 172.4 亩（约合 114931 ㎡），拟建设常规球场、健身步道、广场与器械、儿童活动设施及相关公共服务设施等，项目建成后绿化率达 70%。</w:t>
            </w:r>
          </w:p>
          <w:p>
            <w:pPr>
              <w:pStyle w:val="null3"/>
              <w:ind w:firstLine="560"/>
              <w:jc w:val="left"/>
            </w:pPr>
            <w:r>
              <w:rPr>
                <w:rFonts w:ascii="仿宋_GB2312" w:hAnsi="仿宋_GB2312" w:cs="仿宋_GB2312" w:eastAsia="仿宋_GB2312"/>
                <w:sz w:val="28"/>
              </w:rPr>
              <w:t>总投资及资金来源：项目总投资</w:t>
            </w:r>
            <w:r>
              <w:rPr>
                <w:rFonts w:ascii="仿宋_GB2312" w:hAnsi="仿宋_GB2312" w:cs="仿宋_GB2312" w:eastAsia="仿宋_GB2312"/>
                <w:sz w:val="28"/>
              </w:rPr>
              <w:t>1280.72 万元，其中：工程费用1076.06万元，资金</w:t>
            </w:r>
            <w:r>
              <w:rPr>
                <w:rFonts w:ascii="仿宋_GB2312" w:hAnsi="仿宋_GB2312" w:cs="仿宋_GB2312" w:eastAsia="仿宋_GB2312"/>
                <w:sz w:val="28"/>
              </w:rPr>
              <w:t>来源为申请中央预算内投资及建设单位自筹解决。</w:t>
            </w:r>
          </w:p>
          <w:p>
            <w:pPr>
              <w:pStyle w:val="null3"/>
              <w:numPr>
                <w:ilvl w:val="0"/>
                <w:numId w:val="1"/>
              </w:numPr>
              <w:jc w:val="left"/>
            </w:pPr>
            <w:r>
              <w:rPr>
                <w:rFonts w:ascii="仿宋_GB2312" w:hAnsi="仿宋_GB2312" w:cs="仿宋_GB2312" w:eastAsia="仿宋_GB2312"/>
                <w:sz w:val="28"/>
              </w:rPr>
              <w:t>服务内容：</w:t>
            </w:r>
          </w:p>
          <w:p>
            <w:pPr>
              <w:pStyle w:val="null3"/>
              <w:ind w:firstLine="560"/>
              <w:jc w:val="left"/>
            </w:pPr>
            <w:r>
              <w:rPr>
                <w:rFonts w:ascii="仿宋_GB2312" w:hAnsi="仿宋_GB2312" w:cs="仿宋_GB2312" w:eastAsia="仿宋_GB2312"/>
                <w:sz w:val="28"/>
              </w:rPr>
              <w:t>1.初步设计：初步设计根据修建性详细规划进行编制，并通过相关部门组织的评审且通过。</w:t>
            </w:r>
          </w:p>
          <w:p>
            <w:pPr>
              <w:pStyle w:val="null3"/>
              <w:ind w:firstLine="560"/>
              <w:jc w:val="left"/>
            </w:pPr>
            <w:r>
              <w:rPr>
                <w:rFonts w:ascii="仿宋_GB2312" w:hAnsi="仿宋_GB2312" w:cs="仿宋_GB2312" w:eastAsia="仿宋_GB2312"/>
                <w:sz w:val="28"/>
              </w:rPr>
              <w:t>项目初步设计纸质版、电子版文本按发改局评审要求提供，最终成果提交采购单位</w:t>
            </w:r>
            <w:r>
              <w:rPr>
                <w:rFonts w:ascii="仿宋_GB2312" w:hAnsi="仿宋_GB2312" w:cs="仿宋_GB2312" w:eastAsia="仿宋_GB2312"/>
                <w:sz w:val="28"/>
              </w:rPr>
              <w:t>3份；</w:t>
            </w:r>
          </w:p>
          <w:p>
            <w:pPr>
              <w:pStyle w:val="null3"/>
              <w:ind w:firstLine="560"/>
              <w:jc w:val="left"/>
            </w:pPr>
            <w:r>
              <w:rPr>
                <w:rFonts w:ascii="仿宋_GB2312" w:hAnsi="仿宋_GB2312" w:cs="仿宋_GB2312" w:eastAsia="仿宋_GB2312"/>
                <w:sz w:val="28"/>
              </w:rPr>
              <w:t>2.施工图设计：施工图设计根据初步设计进行编制，并通过图审机构审查通过。</w:t>
            </w:r>
          </w:p>
          <w:p>
            <w:pPr>
              <w:pStyle w:val="null3"/>
              <w:ind w:firstLine="560"/>
              <w:jc w:val="left"/>
            </w:pPr>
            <w:r>
              <w:rPr>
                <w:rFonts w:ascii="仿宋_GB2312" w:hAnsi="仿宋_GB2312" w:cs="仿宋_GB2312" w:eastAsia="仿宋_GB2312"/>
                <w:sz w:val="28"/>
              </w:rPr>
              <w:t>施工图纸质版</w:t>
            </w:r>
            <w:r>
              <w:rPr>
                <w:rFonts w:ascii="仿宋_GB2312" w:hAnsi="仿宋_GB2312" w:cs="仿宋_GB2312" w:eastAsia="仿宋_GB2312"/>
                <w:sz w:val="28"/>
              </w:rPr>
              <w:t>6份、电子版2份提交采购单位，在建设过程中根据有关法律法规和采购方需求提供相关服务。</w:t>
            </w:r>
          </w:p>
          <w:p>
            <w:pPr>
              <w:pStyle w:val="null3"/>
              <w:numPr>
                <w:ilvl w:val="0"/>
                <w:numId w:val="2"/>
              </w:numPr>
              <w:jc w:val="both"/>
            </w:pPr>
            <w:r>
              <w:rPr>
                <w:rFonts w:ascii="仿宋_GB2312" w:hAnsi="仿宋_GB2312" w:cs="仿宋_GB2312" w:eastAsia="仿宋_GB2312"/>
                <w:sz w:val="28"/>
              </w:rPr>
              <w:t>服务质量、标准、期限、效率等要求</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成果及质量要求：设计成果和文件完整、准确、可靠，符合国家有关工程建设法规、标准和合同要求，深度满足相应设计阶段有关规定要求。</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设计人应按合同约定以及发包人要求，完成合同约定的全部工作，并对工作中的任何缺陷进行整改、完善和修补，使其满足合同约定的目的。设计人应按合同约定提供设计文件及相关服务等。</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发包人应当遵守法律和规范标准，不得以任何理由要求设计人违反法律和工程质量、安全标准进行设计服务</w:t>
            </w:r>
            <w:r>
              <w:rPr>
                <w:rFonts w:ascii="仿宋_GB2312" w:hAnsi="仿宋_GB2312" w:cs="仿宋_GB2312" w:eastAsia="仿宋_GB2312"/>
                <w:sz w:val="28"/>
              </w:rPr>
              <w:t>，降低工程质量。</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在履行合同过程中，由于发包人的下列原因造成设计服务期限延误的，发包人应当延长设计服务期限并增加设计费用，具体方法在合同专用条款中约定。</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 合同变更；</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 未按合同约定期限及时答复设计事项；</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 因发包人原因导致的暂停设计；</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4） 未按合同约定及时支付设计费用；</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5） 发包人提供的基准资料错误；</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6） 未及时按照履行合同约定的相关义务；</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7） 未能按照合同约定期限对设计文件进行审查；</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8） 发包人造成周期延误的其他原因。</w:t>
            </w:r>
          </w:p>
          <w:p>
            <w:pPr>
              <w:pStyle w:val="null3"/>
              <w:ind w:firstLine="560"/>
              <w:jc w:val="both"/>
            </w:pPr>
            <w:r>
              <w:rPr>
                <w:rFonts w:ascii="仿宋_GB2312" w:hAnsi="仿宋_GB2312" w:cs="仿宋_GB2312" w:eastAsia="仿宋_GB2312"/>
                <w:sz w:val="28"/>
              </w:rPr>
              <w:t>五</w:t>
            </w:r>
            <w:r>
              <w:rPr>
                <w:rFonts w:ascii="仿宋_GB2312" w:hAnsi="仿宋_GB2312" w:cs="仿宋_GB2312" w:eastAsia="仿宋_GB2312"/>
                <w:sz w:val="28"/>
              </w:rPr>
              <w:t>、付款方式</w:t>
            </w:r>
          </w:p>
          <w:p>
            <w:pPr>
              <w:pStyle w:val="null3"/>
              <w:ind w:firstLine="560"/>
              <w:jc w:val="both"/>
            </w:pPr>
            <w:r>
              <w:rPr>
                <w:rFonts w:ascii="仿宋_GB2312" w:hAnsi="仿宋_GB2312" w:cs="仿宋_GB2312" w:eastAsia="仿宋_GB2312"/>
                <w:sz w:val="28"/>
              </w:rPr>
              <w:t>合同签订生效后，发包人支付合同价款</w:t>
            </w:r>
            <w:r>
              <w:rPr>
                <w:rFonts w:ascii="仿宋_GB2312" w:hAnsi="仿宋_GB2312" w:cs="仿宋_GB2312" w:eastAsia="仿宋_GB2312"/>
                <w:sz w:val="28"/>
              </w:rPr>
              <w:t>10%，初步设计完成经评审后，发包人支付合同价款30%;交付设计成果后，发包人支付合同价款的 55%;剩余合同价款5%待工程竣工交验完成后支付清。</w:t>
            </w:r>
          </w:p>
          <w:p>
            <w:pPr>
              <w:pStyle w:val="null3"/>
              <w:ind w:firstLine="560"/>
              <w:jc w:val="both"/>
            </w:pPr>
            <w:r>
              <w:rPr>
                <w:rFonts w:ascii="仿宋_GB2312" w:hAnsi="仿宋_GB2312" w:cs="仿宋_GB2312" w:eastAsia="仿宋_GB2312"/>
                <w:sz w:val="28"/>
              </w:rPr>
              <w:t>六</w:t>
            </w:r>
            <w:r>
              <w:rPr>
                <w:rFonts w:ascii="仿宋_GB2312" w:hAnsi="仿宋_GB2312" w:cs="仿宋_GB2312" w:eastAsia="仿宋_GB2312"/>
                <w:sz w:val="28"/>
              </w:rPr>
              <w:t>、验收标准</w:t>
            </w:r>
          </w:p>
          <w:p>
            <w:pPr>
              <w:pStyle w:val="null3"/>
              <w:ind w:firstLine="560"/>
              <w:jc w:val="both"/>
            </w:pPr>
            <w:r>
              <w:rPr>
                <w:rFonts w:ascii="仿宋_GB2312" w:hAnsi="仿宋_GB2312" w:cs="仿宋_GB2312" w:eastAsia="仿宋_GB2312"/>
                <w:sz w:val="28"/>
              </w:rPr>
              <w:t>通过施工图联合审查审合格后，并取得施工图联合审查合格文件。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自合同签订之日起60日历日交付设计成果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渭南市澄城县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初步设计完成经评审后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交付设计成果后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工程竣工交验完成后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线下提交纸质版投标文件（可邮寄），正本壹份、副本贰份、电子版壹份（U盘一份标明投标人名称，随正本密封）。若线上电子投标文件与纸质投标文件不一致的，以线上电子投标文件为准；若正本和副本不符，以正本为准。 线下递交文件时间：详见本项目招标公告提交投标文件截止时间；线下递交文件地点：陕西省西安市经济技术开发区明光路凤城六路旭弘西北广场第15层1501室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(1)具有独立承担民事责任能力，提供供应商合法注册的法人或其他组织的营业执照/事业单位法人证书/非企业专业服务机构执业许可证/民办非企业单位登记证书； (2)税收缴纳证明：提供投标截止时间前六个月内任意一个月的纳税证明或完税证明（以税款所属期为准，依法免税的应提供相关证明材料）； (3)社会保障资金缴纳证明：供应商提供本单位2025年至今已缴纳的至少一个月的社会保障资金缴存单据或社保机构开具的社会保险参保缴费情况证明（依法不需要缴纳社会保障资金的投标人应提供相关证明）； (4)提供参加政府采购活动前三年内在经营活动中没有重大违法记录的书面声明；（详见附件，加盖投标人公章） (5)法定代表人（负责人）授权书，法定代表人（负责人）直接参加的不提供,但须出具本人身份证原件及复印件及被授权人身份证原件；（注：被授权人须为本单位在职员工并提供投标截止日前三个月社会保障资金凭证并加盖投标人公章）；法人的分支机构参与投标时，除提供《法定代表人授权委托书》外，还须同时提供法人给分支机构出具的授权书； (6)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网页截图时间为发售招标文件至开标当日，并加盖投标人公章）； (7)单位负责人为同一人或者存在直接控股、管理关系的不同供应商，不得参加同一合同项下的政府采购活动（提供书面承诺函，格式自拟加盖投标人公章）； (8)本项目不接受联合体投标。（提供非联合体声明, 格式自拟加盖投标人公章）。 (9)具备建设行政主管部门颁发的工程设计综合甲级资质或建筑行业设计乙级资质或建筑行业（建筑工程）专业设计乙级资质； (10)拟任项目经理须具备【一级注册建筑师】或相关专业高级技术职称，并在本单位登记注册。</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财务状况证明(以下三种资料提供任意一种即可）： 提供2024年度经审计的财务审计报告 (成立时间至开标时间不足一年的可提供成立后任意时段的资产负债表）或投标截止时间前六个月内其基本账户银行出具的资信证明或者信用担保机构出具的投标担保函；</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1.1《关于进一步加大政府采购支持中小企业力度的通知》（财库〔2022〕19号）、《政府采购促进中小企业发展管理办法》（财库〔2020〕46号）、《关于政府采购支持监狱企业发展有关问题的通知》（财库〔2014〕68号）、《关于促进残疾人就业政府采购政策的通知》（财库〔2017〕141号）。 1.2国务院办公厅《关于建立政府强制采购节能产品制度的通知》（国办发〔2007〕51号）、财政部、国家发改委、生态环境部、市场监督管理总局联合印发《关于调整优化节能产品、环境标志产品政府采购执行机制的通知》（财库〔2019〕9号）、《关于印发环境标志产品政府采购品目清单的通知》（财库〔2019〕18号）、《关于印发节能产品政府采购品目清单的通知》（财库〔2019〕19号）。 1.3《财政部 农业农村部 国家乡村振兴局关于运用政府采购政策支持乡村产业振兴的通知》（财库〔2021〕19 号）、《财政部农业农村部国家乡村振兴局 中华全国供销合作总社关于印发&lt;关于深入开展政府采购脱贫地区农副产品工作推进乡村产业振兴的实施意见&gt;的通知》（财库〔2021〕20 号）。 1.4《国家互联网信息办公室 工业和信息化部 公安部 财政部 国家认证认可监督管理委员会关于调整网络安全专用产品安全管理有关事项的公告》（2023年第1号）。 1.5《陕西省财政厅关于加快推进我省中小企业政府采购信用融资工作的通知》（陕财办采〔2020〕15 号）、陕西省财政厅关于印发《陕西省中小企业政府采购信用融资办法》（陕财办采〔2018〕23 号）。 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若享受以上政策优惠的企业，提供相应声明函或品目清单范围内产品的有效认证证书。</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 求填写《响应函》完成承诺并进行电子签章。提供直接控股和直接管理关系清单。若与其他投标人存在单位负责人为 同一人或者存在直接控股、管理关系的，则投标无效。</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法定代表人参加投标的，须出示身份证；法定代表人授权他人参加投标的，须提供法定代表人授权委托书、被授权人身份证。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本项目专门面向中小微企业采购</w:t>
            </w:r>
          </w:p>
        </w:tc>
        <w:tc>
          <w:tcPr>
            <w:tcW w:type="dxa" w:w="3322"/>
          </w:tcPr>
          <w:p>
            <w:pPr>
              <w:pStyle w:val="null3"/>
            </w:pPr>
            <w:r>
              <w:rPr>
                <w:rFonts w:ascii="仿宋_GB2312" w:hAnsi="仿宋_GB2312" w:cs="仿宋_GB2312" w:eastAsia="仿宋_GB2312"/>
              </w:rPr>
              <w:t>本项目专门面向中小微企业采购</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供应商按照磋商文件要求上传响应文件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的报价明显低于其他实质性响应的供应商报价，有可能影响产品质量或者不能诚信履约的，磋商小组应当要求其在评审现场合理的时间内提供成本构成书面说明，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不属于磋商文件规定的无效情形</w:t>
            </w:r>
          </w:p>
        </w:tc>
        <w:tc>
          <w:tcPr>
            <w:tcW w:type="dxa" w:w="3322"/>
          </w:tcPr>
          <w:p>
            <w:pPr>
              <w:pStyle w:val="null3"/>
            </w:pPr>
            <w:r>
              <w:rPr>
                <w:rFonts w:ascii="仿宋_GB2312" w:hAnsi="仿宋_GB2312" w:cs="仿宋_GB2312" w:eastAsia="仿宋_GB2312"/>
              </w:rPr>
              <w:t>有下列情形之一的，应在符合性审查时按照无效投标处理： (1)响应文件未按照采购文件规定要求签署、盖章的； (2)不满足本磋商文件中“服务期限、服务地点、支付方式及支付约定”的实质性条款要求的； (3)响应有效期不足的或无有效期的； (4)报价超过招标文件中规定的预算金额或最高限价的；(5)法律、法规和招标文件规定的其他无效情形。</w:t>
            </w:r>
          </w:p>
        </w:tc>
        <w:tc>
          <w:tcPr>
            <w:tcW w:type="dxa" w:w="1661"/>
          </w:tcPr>
          <w:p>
            <w:pPr>
              <w:pStyle w:val="null3"/>
            </w:pPr>
            <w:r>
              <w:rPr>
                <w:rFonts w:ascii="仿宋_GB2312" w:hAnsi="仿宋_GB2312" w:cs="仿宋_GB2312" w:eastAsia="仿宋_GB2312"/>
              </w:rPr>
              <w:t>响应文件封面 服务方案 标的清单 承诺书.docx 报价表 响应函 商务偏离表.docx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根据供应商对本项目的理解及分析程度进行赋分，对本项目的理解程度及需求分析思路是否清晰、内容是否全面，且能否高质量完成相关工作。 针对本项目服务内容理解全面、需求分析明确，能够紧扣项目实际情况分析，关键内容把握得当，计11.1-20分； 针对本项目理解单一、需求分析含糊，描述较详细，关键内容可行性不足，计5.1-11分； 针对本项目理解需求分析有偏差、关键内容阐述不明确，不利于项目实施，计0.1-5分； 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围绕本项目工作主题，对本项目的各项服务内容提供具体详细设计方案（包括但不限于设计思路、设计目标以及设计依据） 设计思路清晰、可实施性强，设计目标明确、有清晰的目标设计图、可行性高，设计依据规范、全面符合国家及行业规程及规范要求的根据响应情况计11.1-20分； 设计思路较清晰、可实施性较强，设计目标比较明确、有大概的目标设计图、可行性较高，设计依据较规范、全面根据响应情况计5.1-11分； 设计思路比较模糊、可实施性不高，设计目标不明确、目标设计图不清晰、可行性不高，设计依据较模糊根据响应情况计0.1-5分； 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进度 安排</w:t>
            </w:r>
          </w:p>
        </w:tc>
        <w:tc>
          <w:tcPr>
            <w:tcW w:type="dxa" w:w="2492"/>
          </w:tcPr>
          <w:p>
            <w:pPr>
              <w:pStyle w:val="null3"/>
            </w:pPr>
            <w:r>
              <w:rPr>
                <w:rFonts w:ascii="仿宋_GB2312" w:hAnsi="仿宋_GB2312" w:cs="仿宋_GB2312" w:eastAsia="仿宋_GB2312"/>
              </w:rPr>
              <w:t>磋商小组根据供应商提供的针对本项目的进度安排（包括但不限于工作进度、各环节的工作程序和步骤等）进行打分 工作进度安排合理、明确，各环节工作衔接有序、步骤清晰，合理符合本项目日程要求的计7.1-10分； 工作进度安排基本合理、明确，各环节工作衔接时间节点把握较合理，较明确完整、步骤较清晰的基本符合本项目日程要求的计3.1-7分； 工作进度安排内容有所欠缺，各环节时间节点把握不够合理，针对性不强，步骤模糊的计0.1-3分；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根据供应商提供的服务团队其他成员配置内容（包括但不限于团队人员配置、团队专业能力及工作经验、团队管理方案）进行综合评分。 团队人员配置完整合理、分工明确、岗位职责明确、工作经验丰富、专业能力强、有制定完整合理可行的管理方案的计7.1-10分； 团队人员配置单一、分工基本合理、岗位职责较明确、有相应的工作经验、有相应管理方案基本可行的计3.1-7分； 团队人员配置不合理、岗位职责模糊、没有相应的工作经验、管理方案不可行根据响应情况计0.1-3分。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业绩：提供2023年以来至今同类项目合同（以合同签订日期为准），每提供1个得1分，最高得5分。 备注：响应文件中提供合同复印件加盖公章，原件现场备查，未提供原件的以复印件为准。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后期服务配合</w:t>
            </w:r>
          </w:p>
        </w:tc>
        <w:tc>
          <w:tcPr>
            <w:tcW w:type="dxa" w:w="2492"/>
          </w:tcPr>
          <w:p>
            <w:pPr>
              <w:pStyle w:val="null3"/>
            </w:pPr>
            <w:r>
              <w:rPr>
                <w:rFonts w:ascii="仿宋_GB2312" w:hAnsi="仿宋_GB2312" w:cs="仿宋_GB2312" w:eastAsia="仿宋_GB2312"/>
              </w:rPr>
              <w:t>磋商小组根据供应商针对本项目实施过程中出现的配合方案（包括但不限于与采购人沟通配合方案以及在项目实施中出现的各种问题等）以及其他突发事件的处理措施进行打分。 方案内容全面、完善具体，突发事件的处理措施流程完整，处理思路清晰，可操作性高，计7.1-10分； 方案内容较全面具体，突发事件的处理措施流程较完整，处理思路较清晰，可操作性较高，计3.1-7分； 方案内容基本全面具体，有基本的突发事件的处理措施的计0.1-3分。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磋商小组根据供应商针对本项目提供的质量保障措施进行打分（包括但不限于质量保障方案、质量控制体系等） 内容完整具体、科学合理、保障方案得力、针对项目需求且可行性强的计7.1-10分； 内容较完整具体、科学合理性较好、保障方案可行、针对项目需求且可行性较好的计3.1-7分； 内容基本合理可行略有欠缺、部分需进一步修改完善方可满足项目要求的计0.1-3分；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 价格分=(评标基准价／磋商报价)×报价分值 注：1、计算分数时四舍五入取小数点后两位； 2、落实政府采购政策：参见供应商须知前附表。</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