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版本号：ZY2025-09-0120250905001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澄城县古徵体育场建设项目初步设计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ZY2025-09-01</w:t>
      </w:r>
      <w:r>
        <w:br/>
      </w:r>
      <w:r>
        <w:br/>
      </w:r>
      <w:r>
        <w:br/>
      </w:r>
    </w:p>
    <w:p>
      <w:pPr>
        <w:pStyle w:val="null3"/>
        <w:jc w:val="center"/>
        <w:outlineLvl w:val="2"/>
      </w:pPr>
      <w:r>
        <w:rPr>
          <w:rFonts w:ascii="仿宋_GB2312" w:hAnsi="仿宋_GB2312" w:cs="仿宋_GB2312" w:eastAsia="仿宋_GB2312"/>
          <w:sz w:val="28"/>
          <w:b/>
        </w:rPr>
        <w:t>澄城县体育运动中心</w:t>
      </w:r>
    </w:p>
    <w:p>
      <w:pPr>
        <w:pStyle w:val="null3"/>
        <w:jc w:val="center"/>
        <w:outlineLvl w:val="2"/>
      </w:pPr>
      <w:r>
        <w:rPr>
          <w:rFonts w:ascii="仿宋_GB2312" w:hAnsi="仿宋_GB2312" w:cs="仿宋_GB2312" w:eastAsia="仿宋_GB2312"/>
          <w:sz w:val="28"/>
          <w:b/>
        </w:rPr>
        <w:t>陕西正亚项目管理有限公司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陕西正亚项目管理有限公司</w:t>
      </w:r>
      <w:r>
        <w:rPr>
          <w:rFonts w:ascii="仿宋_GB2312" w:hAnsi="仿宋_GB2312" w:cs="仿宋_GB2312" w:eastAsia="仿宋_GB2312"/>
        </w:rPr>
        <w:t>（以下简称“代理机构”）受</w:t>
      </w:r>
      <w:r>
        <w:rPr>
          <w:rFonts w:ascii="仿宋_GB2312" w:hAnsi="仿宋_GB2312" w:cs="仿宋_GB2312" w:eastAsia="仿宋_GB2312"/>
        </w:rPr>
        <w:t>澄城县体育运动中心</w:t>
      </w:r>
      <w:r>
        <w:rPr>
          <w:rFonts w:ascii="仿宋_GB2312" w:hAnsi="仿宋_GB2312" w:cs="仿宋_GB2312" w:eastAsia="仿宋_GB2312"/>
        </w:rPr>
        <w:t>委托，拟对</w:t>
      </w:r>
      <w:r>
        <w:rPr>
          <w:rFonts w:ascii="仿宋_GB2312" w:hAnsi="仿宋_GB2312" w:cs="仿宋_GB2312" w:eastAsia="仿宋_GB2312"/>
        </w:rPr>
        <w:t>澄城县古徵体育场建设项目初步设计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ZY2025-09-01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澄城县古徵体育场建设项目初步设计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澄城县古徵体育场建设项目初步设计、地形图测量、施工图设计。具体内容详见磋商文件第3章.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采购包1（澄城县古徵体育场建设项目初步设计）：属于专门面向中小企业采购。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 求填写《响应函》完成承诺并进行电子签章。提供直接控股和直接管理关系清单。若与其他投标人存在单位负责人为 同一人或者存在直接控股、管理关系的，则投标无效。</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2、法定代表人授权委托书：法定代表人参加投标的，须出示身份证；法定代表人授权他人参加投标的，须提供法定代表人授权委托书、被授权人身份证。</w:t>
      </w:r>
    </w:p>
    <w:p>
      <w:pPr>
        <w:pStyle w:val="null3"/>
      </w:pPr>
      <w:r>
        <w:rPr>
          <w:rFonts w:ascii="仿宋_GB2312" w:hAnsi="仿宋_GB2312" w:cs="仿宋_GB2312" w:eastAsia="仿宋_GB2312"/>
        </w:rPr>
        <w:t>3、本项目专门面向中小微企业采购：本项目专门面向中小微企业采购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古徵街南段新体育场内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0913-6736500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陕西省西安市未央区陕西省西安市经济技术开发区明光路凤城六路旭弘西北广场第15层1501室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谢璐瑶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17791522074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采购包1：597,700.00元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 2、支付方式：中标人应在领取通知书的同时，向陕西正亚项目管理有限公司交纳本项目招标代理服务费。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澄城县体育运动中心</w:t>
      </w:r>
      <w:r>
        <w:rPr>
          <w:rFonts w:ascii="仿宋_GB2312" w:hAnsi="仿宋_GB2312" w:cs="仿宋_GB2312" w:eastAsia="仿宋_GB2312"/>
        </w:rPr>
        <w:t>和</w:t>
      </w:r>
      <w:r>
        <w:rPr>
          <w:rFonts w:ascii="仿宋_GB2312" w:hAnsi="仿宋_GB2312" w:cs="仿宋_GB2312" w:eastAsia="仿宋_GB2312"/>
        </w:rPr>
        <w:t>陕西正亚项目管理有限公司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联系人：谢璐瑶</w:t>
      </w:r>
    </w:p>
    <w:p>
      <w:pPr>
        <w:pStyle w:val="null3"/>
      </w:pPr>
      <w:r>
        <w:rPr>
          <w:rFonts w:ascii="仿宋_GB2312" w:hAnsi="仿宋_GB2312" w:cs="仿宋_GB2312" w:eastAsia="仿宋_GB2312"/>
        </w:rPr>
        <w:t>联系电话：17791522074</w:t>
      </w:r>
    </w:p>
    <w:p>
      <w:pPr>
        <w:pStyle w:val="null3"/>
      </w:pPr>
      <w:r>
        <w:rPr>
          <w:rFonts w:ascii="仿宋_GB2312" w:hAnsi="仿宋_GB2312" w:cs="仿宋_GB2312" w:eastAsia="仿宋_GB2312"/>
        </w:rPr>
        <w:t>地址：陕西省西安市未央区陕西省西安市经济技术开发区明光路凤城六路旭弘西北广场第15层1501室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计价格[2002]10号_《工程勘察设计收费管理规定》、发改价格[2015]299号《关于进一步放开建设项目专业服务价格的通知》，主要建设内容为运动场地以及配套用房。本工程拟建一个可举办市级比赛的标准化足球运动场。总占地面积为18000㎡(约合 27 亩)，其中:人造草皮足球场为7824㎡，400米环形塑胶跑道为7180㎡，看台2400㎡，田赛场地包括跳远和三级跳远、跳高、铅球以及配套用房。 总投资及资金来源：项目总投资2500.00万元，其中：工程费用2034.09万元，资金来源为申请中央预算内投资及建设单位自筹解决。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597,700.00</w:t>
      </w:r>
    </w:p>
    <w:p>
      <w:pPr>
        <w:pStyle w:val="null3"/>
      </w:pPr>
      <w:r>
        <w:rPr>
          <w:rFonts w:ascii="仿宋_GB2312" w:hAnsi="仿宋_GB2312" w:cs="仿宋_GB2312" w:eastAsia="仿宋_GB2312"/>
        </w:rPr>
        <w:t>采购包最高限价（元）: 597,700.00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澄城县古徵体育场建设项目初步设计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597,700.00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标的名称：澄城县古徵体育场建设项目初步设计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一、基本要求</w:t>
            </w:r>
          </w:p>
          <w:p>
            <w:pPr>
              <w:pStyle w:val="null3"/>
              <w:ind w:firstLine="640"/>
              <w:jc w:val="both"/>
            </w:pPr>
            <w:r>
              <w:rPr>
                <w:rFonts w:ascii="仿宋_GB2312" w:hAnsi="仿宋_GB2312" w:cs="仿宋_GB2312" w:eastAsia="仿宋_GB2312"/>
                <w:sz w:val="21"/>
              </w:rPr>
              <w:t>1、功能要求：完成澄城县古徵体育场建设项目初步设计，取得相关管理部门批复</w:t>
            </w:r>
          </w:p>
          <w:p>
            <w:pPr>
              <w:pStyle w:val="null3"/>
              <w:ind w:right="-195" w:firstLine="480"/>
              <w:jc w:val="left"/>
            </w:pPr>
            <w:r>
              <w:rPr>
                <w:rFonts w:ascii="仿宋_GB2312" w:hAnsi="仿宋_GB2312" w:cs="仿宋_GB2312" w:eastAsia="仿宋_GB2312"/>
                <w:sz w:val="21"/>
                <w:color w:val="000000"/>
              </w:rPr>
              <w:t xml:space="preserve"> 2、</w:t>
            </w:r>
            <w:r>
              <w:rPr>
                <w:rFonts w:ascii="仿宋_GB2312" w:hAnsi="仿宋_GB2312" w:cs="仿宋_GB2312" w:eastAsia="仿宋_GB2312"/>
                <w:sz w:val="21"/>
              </w:rPr>
              <w:t>服务期限：</w:t>
            </w:r>
            <w:r>
              <w:rPr>
                <w:rFonts w:ascii="仿宋_GB2312" w:hAnsi="仿宋_GB2312" w:cs="仿宋_GB2312" w:eastAsia="仿宋_GB2312"/>
                <w:sz w:val="21"/>
              </w:rPr>
              <w:t>自合同签订之日起60日历日交付设计成果</w:t>
            </w:r>
          </w:p>
          <w:p>
            <w:pPr>
              <w:pStyle w:val="null3"/>
              <w:ind w:firstLine="640"/>
              <w:jc w:val="both"/>
            </w:pPr>
            <w:r>
              <w:rPr>
                <w:rFonts w:ascii="仿宋_GB2312" w:hAnsi="仿宋_GB2312" w:cs="仿宋_GB2312" w:eastAsia="仿宋_GB2312"/>
                <w:sz w:val="21"/>
              </w:rPr>
              <w:t xml:space="preserve">3、服务地点：渭南市澄城县 </w:t>
            </w:r>
          </w:p>
          <w:p>
            <w:pPr>
              <w:pStyle w:val="null3"/>
              <w:ind w:firstLine="640"/>
              <w:jc w:val="both"/>
            </w:pPr>
            <w:r>
              <w:rPr>
                <w:rFonts w:ascii="仿宋_GB2312" w:hAnsi="仿宋_GB2312" w:cs="仿宋_GB2312" w:eastAsia="仿宋_GB2312"/>
                <w:sz w:val="21"/>
              </w:rPr>
              <w:t>二、需执行的国家相关标准、行业标准、地方标准或者其他标准、规范标准</w:t>
            </w:r>
          </w:p>
          <w:p>
            <w:pPr>
              <w:pStyle w:val="null3"/>
              <w:ind w:firstLine="640"/>
              <w:jc w:val="both"/>
            </w:pPr>
            <w:r>
              <w:rPr>
                <w:rFonts w:ascii="仿宋_GB2312" w:hAnsi="仿宋_GB2312" w:cs="仿宋_GB2312" w:eastAsia="仿宋_GB2312"/>
                <w:sz w:val="21"/>
              </w:rPr>
              <w:t>执行最新标准、规范。</w:t>
            </w:r>
          </w:p>
          <w:p>
            <w:pPr>
              <w:pStyle w:val="null3"/>
              <w:ind w:firstLine="640"/>
              <w:jc w:val="both"/>
            </w:pPr>
            <w:r>
              <w:rPr>
                <w:rFonts w:ascii="仿宋_GB2312" w:hAnsi="仿宋_GB2312" w:cs="仿宋_GB2312" w:eastAsia="仿宋_GB2312"/>
                <w:sz w:val="21"/>
              </w:rPr>
              <w:t>三、服务指标的具体要求</w:t>
            </w:r>
          </w:p>
          <w:p>
            <w:pPr>
              <w:pStyle w:val="null3"/>
              <w:ind w:firstLine="643"/>
              <w:jc w:val="both"/>
            </w:pPr>
            <w:r>
              <w:rPr>
                <w:rFonts w:ascii="仿宋_GB2312" w:hAnsi="仿宋_GB2312" w:cs="仿宋_GB2312" w:eastAsia="仿宋_GB2312"/>
                <w:sz w:val="21"/>
              </w:rPr>
              <w:t>1、服务项目概况：依据：计价格[2002]10号_《工程勘察设计收费管理规定》、发改价格[2015]299号《关于进一步放开建设项目专业服务价格的通知》，主要建设内容为运动场地以及配套用房。本工程拟建一个可举办市级比赛的标准化足球运动场。总占地面积为18000㎡(约合 27 亩)，其中:人造草皮足球场为7824㎡，400米环形塑胶跑道为7180㎡，看台2400㎡，田赛场地包括跳远和三级跳远、跳高、铅球以及配套用房。</w:t>
            </w:r>
          </w:p>
          <w:p>
            <w:pPr>
              <w:pStyle w:val="null3"/>
              <w:ind w:firstLine="640"/>
              <w:jc w:val="left"/>
            </w:pPr>
            <w:r>
              <w:rPr>
                <w:rFonts w:ascii="仿宋_GB2312" w:hAnsi="仿宋_GB2312" w:cs="仿宋_GB2312" w:eastAsia="仿宋_GB2312"/>
                <w:sz w:val="21"/>
              </w:rPr>
              <w:t>总投资及资金来源：项目总投资2500.00万元，其中：工程费用2034.09万元，资金来源为申请中央预算内投资及建设单位自筹解决。</w:t>
            </w:r>
          </w:p>
          <w:p>
            <w:pPr>
              <w:pStyle w:val="null3"/>
              <w:numPr>
                <w:ilvl w:val="0"/>
                <w:numId w:val="1"/>
              </w:numPr>
              <w:jc w:val="left"/>
            </w:pPr>
            <w:r>
              <w:rPr>
                <w:rFonts w:ascii="仿宋_GB2312" w:hAnsi="仿宋_GB2312" w:cs="仿宋_GB2312" w:eastAsia="仿宋_GB2312"/>
                <w:sz w:val="21"/>
              </w:rPr>
              <w:t>服务内容：</w:t>
            </w:r>
          </w:p>
          <w:p>
            <w:pPr>
              <w:pStyle w:val="null3"/>
              <w:ind w:firstLine="640"/>
              <w:jc w:val="left"/>
            </w:pPr>
            <w:r>
              <w:rPr>
                <w:rFonts w:ascii="仿宋_GB2312" w:hAnsi="仿宋_GB2312" w:cs="仿宋_GB2312" w:eastAsia="仿宋_GB2312"/>
                <w:sz w:val="21"/>
              </w:rPr>
              <w:t>1</w:t>
            </w:r>
            <w:r>
              <w:rPr>
                <w:rFonts w:ascii="仿宋_GB2312" w:hAnsi="仿宋_GB2312" w:cs="仿宋_GB2312" w:eastAsia="仿宋_GB2312"/>
                <w:sz w:val="21"/>
              </w:rPr>
              <w:t>.初步设计：初步设计根据修建性详细规划进行编制，并通过相关部门组织的评审且通过。</w:t>
            </w:r>
          </w:p>
          <w:p>
            <w:pPr>
              <w:pStyle w:val="null3"/>
              <w:ind w:firstLine="640"/>
              <w:jc w:val="left"/>
            </w:pPr>
            <w:r>
              <w:rPr>
                <w:rFonts w:ascii="仿宋_GB2312" w:hAnsi="仿宋_GB2312" w:cs="仿宋_GB2312" w:eastAsia="仿宋_GB2312"/>
                <w:sz w:val="21"/>
              </w:rPr>
              <w:t>项目初步设计纸质版、电子版文本按发改局评审要求提供，最终成果提交采购单位3份；</w:t>
            </w:r>
          </w:p>
          <w:p>
            <w:pPr>
              <w:pStyle w:val="null3"/>
              <w:ind w:firstLine="640"/>
              <w:jc w:val="left"/>
            </w:pPr>
            <w:r>
              <w:rPr>
                <w:rFonts w:ascii="仿宋_GB2312" w:hAnsi="仿宋_GB2312" w:cs="仿宋_GB2312" w:eastAsia="仿宋_GB2312"/>
                <w:sz w:val="21"/>
              </w:rPr>
              <w:t>2.施工图设计：施工图设计根据初步设计进行编制，并通过图审机构审查通过。</w:t>
            </w:r>
          </w:p>
          <w:p>
            <w:pPr>
              <w:pStyle w:val="null3"/>
              <w:ind w:firstLine="640"/>
              <w:jc w:val="left"/>
            </w:pPr>
            <w:r>
              <w:rPr>
                <w:rFonts w:ascii="仿宋_GB2312" w:hAnsi="仿宋_GB2312" w:cs="仿宋_GB2312" w:eastAsia="仿宋_GB2312"/>
                <w:sz w:val="21"/>
              </w:rPr>
              <w:t>施工图纸质版6份、电子版2份提交采购单位，在建设过程中根据有关法律法规和采购方需求提供相关服务。</w:t>
            </w:r>
          </w:p>
          <w:p>
            <w:pPr>
              <w:pStyle w:val="null3"/>
              <w:numPr>
                <w:ilvl w:val="0"/>
                <w:numId w:val="2"/>
              </w:numPr>
              <w:jc w:val="both"/>
            </w:pPr>
            <w:r>
              <w:rPr>
                <w:rFonts w:ascii="仿宋_GB2312" w:hAnsi="仿宋_GB2312" w:cs="仿宋_GB2312" w:eastAsia="仿宋_GB2312"/>
                <w:sz w:val="21"/>
              </w:rPr>
              <w:t>服务质量、标准、期限、效率等要求</w:t>
            </w:r>
          </w:p>
          <w:p>
            <w:pPr>
              <w:pStyle w:val="null3"/>
              <w:ind w:firstLine="640"/>
              <w:jc w:val="left"/>
            </w:pPr>
            <w:r>
              <w:rPr>
                <w:rFonts w:ascii="仿宋_GB2312" w:hAnsi="仿宋_GB2312" w:cs="仿宋_GB2312" w:eastAsia="仿宋_GB2312"/>
                <w:sz w:val="21"/>
              </w:rPr>
              <w:t>1.成果及质量要求：设计成果和文件完整、准确、可靠，符合国家有关工程建设法规、标准和合同要求，深度满足相应设计阶段有关规定要求。</w:t>
            </w:r>
          </w:p>
          <w:p>
            <w:pPr>
              <w:pStyle w:val="null3"/>
              <w:ind w:firstLine="640"/>
              <w:jc w:val="left"/>
            </w:pPr>
            <w:r>
              <w:rPr>
                <w:rFonts w:ascii="仿宋_GB2312" w:hAnsi="仿宋_GB2312" w:cs="仿宋_GB2312" w:eastAsia="仿宋_GB2312"/>
                <w:sz w:val="21"/>
              </w:rPr>
              <w:t>2.设计人应按合同约定以及发包人要求，完成合同约定的全部工作，并对工作中的任何缺陷进行整改、完善和修补，使其满足合同约定的目的。设计人应按合同约定提供设计文件及相关服务等。</w:t>
            </w:r>
          </w:p>
          <w:p>
            <w:pPr>
              <w:pStyle w:val="null3"/>
              <w:ind w:firstLine="640"/>
              <w:jc w:val="left"/>
            </w:pPr>
            <w:r>
              <w:rPr>
                <w:rFonts w:ascii="仿宋_GB2312" w:hAnsi="仿宋_GB2312" w:cs="仿宋_GB2312" w:eastAsia="仿宋_GB2312"/>
                <w:sz w:val="21"/>
              </w:rPr>
              <w:t>3.发包人应当遵守法律和规范标准，不得以任何理由要求设计人违反法律和工程质量、安全标准进行设计服务，降低工程质量。</w:t>
            </w:r>
          </w:p>
          <w:p>
            <w:pPr>
              <w:pStyle w:val="null3"/>
              <w:ind w:firstLine="640"/>
              <w:jc w:val="left"/>
            </w:pPr>
            <w:r>
              <w:rPr>
                <w:rFonts w:ascii="仿宋_GB2312" w:hAnsi="仿宋_GB2312" w:cs="仿宋_GB2312" w:eastAsia="仿宋_GB2312"/>
                <w:sz w:val="21"/>
              </w:rPr>
              <w:t>4.在履行合同过程中，由于发包人的下列原因造成设计服务期限延误的，发包人应当延长设计服务期限并增加设计费用，具体方法在合同专用条款中约定。</w:t>
            </w:r>
          </w:p>
          <w:p>
            <w:pPr>
              <w:pStyle w:val="null3"/>
              <w:ind w:firstLine="640"/>
              <w:jc w:val="left"/>
            </w:pPr>
            <w:r>
              <w:rPr>
                <w:rFonts w:ascii="仿宋_GB2312" w:hAnsi="仿宋_GB2312" w:cs="仿宋_GB2312" w:eastAsia="仿宋_GB2312"/>
                <w:sz w:val="21"/>
              </w:rPr>
              <w:t>（1） 合同变更；</w:t>
            </w:r>
          </w:p>
          <w:p>
            <w:pPr>
              <w:pStyle w:val="null3"/>
              <w:ind w:firstLine="640"/>
              <w:jc w:val="left"/>
            </w:pPr>
            <w:r>
              <w:rPr>
                <w:rFonts w:ascii="仿宋_GB2312" w:hAnsi="仿宋_GB2312" w:cs="仿宋_GB2312" w:eastAsia="仿宋_GB2312"/>
                <w:sz w:val="21"/>
              </w:rPr>
              <w:t>（2） 未按合同约定期限及时答复设计事项；</w:t>
            </w:r>
          </w:p>
          <w:p>
            <w:pPr>
              <w:pStyle w:val="null3"/>
              <w:ind w:firstLine="640"/>
              <w:jc w:val="left"/>
            </w:pPr>
            <w:r>
              <w:rPr>
                <w:rFonts w:ascii="仿宋_GB2312" w:hAnsi="仿宋_GB2312" w:cs="仿宋_GB2312" w:eastAsia="仿宋_GB2312"/>
                <w:sz w:val="21"/>
              </w:rPr>
              <w:t>（3） 因发包人原因导致的暂停设计；</w:t>
            </w:r>
          </w:p>
          <w:p>
            <w:pPr>
              <w:pStyle w:val="null3"/>
              <w:ind w:firstLine="640"/>
              <w:jc w:val="left"/>
            </w:pPr>
            <w:r>
              <w:rPr>
                <w:rFonts w:ascii="仿宋_GB2312" w:hAnsi="仿宋_GB2312" w:cs="仿宋_GB2312" w:eastAsia="仿宋_GB2312"/>
                <w:sz w:val="21"/>
              </w:rPr>
              <w:t>（4） 未按合同约定及时支付设计费用；</w:t>
            </w:r>
          </w:p>
          <w:p>
            <w:pPr>
              <w:pStyle w:val="null3"/>
              <w:ind w:firstLine="640"/>
              <w:jc w:val="left"/>
            </w:pPr>
            <w:r>
              <w:rPr>
                <w:rFonts w:ascii="仿宋_GB2312" w:hAnsi="仿宋_GB2312" w:cs="仿宋_GB2312" w:eastAsia="仿宋_GB2312"/>
                <w:sz w:val="21"/>
              </w:rPr>
              <w:t>（5） 发包人提供的基准资料错误；</w:t>
            </w:r>
          </w:p>
          <w:p>
            <w:pPr>
              <w:pStyle w:val="null3"/>
              <w:ind w:firstLine="640"/>
              <w:jc w:val="left"/>
            </w:pPr>
            <w:r>
              <w:rPr>
                <w:rFonts w:ascii="仿宋_GB2312" w:hAnsi="仿宋_GB2312" w:cs="仿宋_GB2312" w:eastAsia="仿宋_GB2312"/>
                <w:sz w:val="21"/>
              </w:rPr>
              <w:t>（6） 未及时按照履行合同约定的相关义务；</w:t>
            </w:r>
          </w:p>
          <w:p>
            <w:pPr>
              <w:pStyle w:val="null3"/>
              <w:ind w:firstLine="640"/>
              <w:jc w:val="left"/>
            </w:pPr>
            <w:r>
              <w:rPr>
                <w:rFonts w:ascii="仿宋_GB2312" w:hAnsi="仿宋_GB2312" w:cs="仿宋_GB2312" w:eastAsia="仿宋_GB2312"/>
                <w:sz w:val="21"/>
              </w:rPr>
              <w:t>（7） 未能按照合同约定期限对设计文件进行审查；</w:t>
            </w:r>
          </w:p>
          <w:p>
            <w:pPr>
              <w:pStyle w:val="null3"/>
              <w:ind w:firstLine="640"/>
              <w:jc w:val="left"/>
            </w:pPr>
            <w:r>
              <w:rPr>
                <w:rFonts w:ascii="仿宋_GB2312" w:hAnsi="仿宋_GB2312" w:cs="仿宋_GB2312" w:eastAsia="仿宋_GB2312"/>
                <w:sz w:val="21"/>
              </w:rPr>
              <w:t>（8） 发包人造成周期延误的其他原因。</w:t>
            </w:r>
          </w:p>
          <w:p>
            <w:pPr>
              <w:pStyle w:val="null3"/>
              <w:ind w:firstLine="640"/>
              <w:jc w:val="both"/>
            </w:pPr>
            <w:r>
              <w:rPr>
                <w:rFonts w:ascii="仿宋_GB2312" w:hAnsi="仿宋_GB2312" w:cs="仿宋_GB2312" w:eastAsia="仿宋_GB2312"/>
                <w:sz w:val="21"/>
              </w:rPr>
              <w:t>四、服务期限：</w:t>
            </w:r>
            <w:r>
              <w:rPr>
                <w:rFonts w:ascii="仿宋_GB2312" w:hAnsi="仿宋_GB2312" w:cs="仿宋_GB2312" w:eastAsia="仿宋_GB2312"/>
                <w:sz w:val="21"/>
                <w:color w:val="000000"/>
              </w:rPr>
              <w:t>自合同签订之日起60日历日交付设计成果</w:t>
            </w:r>
          </w:p>
          <w:p>
            <w:pPr>
              <w:pStyle w:val="null3"/>
              <w:ind w:firstLine="640"/>
              <w:jc w:val="left"/>
            </w:pPr>
            <w:r>
              <w:rPr>
                <w:rFonts w:ascii="仿宋_GB2312" w:hAnsi="仿宋_GB2312" w:cs="仿宋_GB2312" w:eastAsia="仿宋_GB2312"/>
                <w:sz w:val="21"/>
              </w:rPr>
              <w:t>五、服务地点：项目建设地点位于渭南市澄城县体育场东侧，昌荣东路以北，万泉街(南段)以西，古徽街(南段)以东，工北东路以南。</w:t>
            </w:r>
          </w:p>
          <w:p>
            <w:pPr>
              <w:pStyle w:val="null3"/>
              <w:ind w:firstLine="640"/>
              <w:jc w:val="both"/>
            </w:pPr>
            <w:r>
              <w:rPr>
                <w:rFonts w:ascii="仿宋_GB2312" w:hAnsi="仿宋_GB2312" w:cs="仿宋_GB2312" w:eastAsia="仿宋_GB2312"/>
                <w:sz w:val="21"/>
              </w:rPr>
              <w:t>五、付款方式</w:t>
            </w:r>
          </w:p>
          <w:p>
            <w:pPr>
              <w:pStyle w:val="null3"/>
              <w:ind w:firstLine="640"/>
              <w:jc w:val="both"/>
            </w:pPr>
            <w:r>
              <w:rPr>
                <w:rFonts w:ascii="仿宋_GB2312" w:hAnsi="仿宋_GB2312" w:cs="仿宋_GB2312" w:eastAsia="仿宋_GB2312"/>
                <w:sz w:val="21"/>
              </w:rPr>
              <w:t>合同签订生效后，发包人支付合同价款10%，初步设计完成经评审后，发包人支付合同价款30%;交付设计成果后，发包人支付合同价款的 55%;剩余合同价款5%待工程竣工交验完成后支付清。</w:t>
            </w:r>
          </w:p>
          <w:p>
            <w:pPr>
              <w:pStyle w:val="null3"/>
              <w:ind w:firstLine="640"/>
              <w:jc w:val="both"/>
            </w:pPr>
            <w:r>
              <w:rPr>
                <w:rFonts w:ascii="仿宋_GB2312" w:hAnsi="仿宋_GB2312" w:cs="仿宋_GB2312" w:eastAsia="仿宋_GB2312"/>
                <w:sz w:val="21"/>
              </w:rPr>
              <w:t>六、验收标准</w:t>
            </w:r>
          </w:p>
          <w:p>
            <w:pPr>
              <w:pStyle w:val="null3"/>
              <w:ind w:firstLine="640"/>
              <w:jc w:val="both"/>
            </w:pPr>
            <w:r>
              <w:rPr>
                <w:rFonts w:ascii="仿宋_GB2312" w:hAnsi="仿宋_GB2312" w:cs="仿宋_GB2312" w:eastAsia="仿宋_GB2312"/>
                <w:sz w:val="21"/>
              </w:rPr>
              <w:t>通过施工图联合审查审合格后，并取得施工图联合审查合格文件。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自合同签订之日起60日历日交付设计成果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初步设计完成经评审后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交付设计成果后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工程竣工交验完成后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可邮寄），正本壹份、副本贰份、电子版壹份（U盘一份标明投标人名称，随正本密封）。若线上电子投标文件与纸质投标文件不一致的，以线上电子投标文件为准；若正本和副本不符，以正本为准。 线下递交文件时间：详见本项目招标公告提交投标文件截止时间；线下递交文件地点：陕西省西安市经济技术开发区明光路凤城六路旭弘西北广场第15层1501室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(1)具有独立承担民事责任能力，提供供应商合法注册的法人或其他组织的营业执照/事业单位法人证书/非企业专业服务机构执业许可证/民办非企业单位登记证书； (2)税收缴纳证明：提供投标截止时间前六个月内任意一个月的纳税证明或完税证明（以税款所属期为准，依法免税的应提供相关证明材料）； (3)社会保障资金缴纳证明：供应商提供本单位2025年至今已缴纳的至少一个月的社会保障资金缴存单据或社保机构开具的社会保险参保缴费情况证明（依法不需要缴纳社会保障资金的投标人应提供相关证明）； (4)提供参加政府采购活动前三年内在经营活动中没有重大违法记录的书面声明；（详见附件，加盖投标人公章） (5)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 (6)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 (7)单位负责人为同一人或者存在直接控股、管理关系的不同供应商，不得参加同一合同项下的政府采购活动（提供书面承诺函，格式自拟加盖投标人公章）； (8)本项目不接受联合体投标。（提供非联合体声明, 格式自拟加盖投标人公章）。 (9)具备建设行政主管部门颁发的工程设计综合甲级资质或建筑行业设计乙级资质或建筑行业（建筑工程）专业设计乙级资质； (10)拟任项目经理须具备【一级注册建筑师】或相关专业高级技术职称，并在本单位登记注册。</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财务状况证明(以下三种资料提供任意一种即可）：提供2024年度经审计的财务审计报告 (成立时间至开标时间不足一年的可提供成立后任意时段的资产负债表）或投标截止时间前六个月内其基本账户银行出具的资信证明或者信用担保机构出具的投标担保函；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1.1《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国务院办公厅《关于建立政府强制采购节能产品制度的通知》（国办发〔2007〕51号）、财政部、国家发改委、生态环境部、市场监督管理总局联合印发《关于调整优化节能产品、环境标志产品政府采购执行机制的通知》（财库〔2019〕9号）、《关于印发环境标志产品政府采购品目清单的通知》（财库〔2019〕18号）、《关于印发节能产品政府采购品目清单的通知》（财库〔2019〕19号）。 1.3《财政部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号）、陕西省财政厅关于印发《陕西省中小企业政府采购信用融资办法》（陕财办采〔2018〕23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若享受以上政策优惠的企业，提供相应声明函或品目清单范围内产品的有效认证证书。</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 求填写《响应函》完成承诺并进行电子签章。提供直接控股和直接管理关系清单。若与其他投标人存在单位负责人为 同一人或者存在直接控股、管理关系的，则投标无效。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本项目专门面向中小微企业采购</w:t>
            </w:r>
          </w:p>
        </w:tc>
        <w:tc>
          <w:tcPr>
            <w:tcW w:type="dxa" w:w="3322"/>
          </w:tcPr>
          <w:p>
            <w:pPr>
              <w:pStyle w:val="null3"/>
            </w:pPr>
            <w:r>
              <w:rPr>
                <w:rFonts w:ascii="仿宋_GB2312" w:hAnsi="仿宋_GB2312" w:cs="仿宋_GB2312" w:eastAsia="仿宋_GB2312"/>
              </w:rPr>
              <w:t>本项目专门面向中小微企业采购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服务方案 标的清单 承诺书.docx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根据供应商对本项目的理解及分析程度进行赋分，对本项目的理解程度及需求分析思路是否清晰、内容是否全面，且能否高质量完成相关工作。 针对本项目服务内容理解全面、需求分析明确，能够紧扣项目实际情况分析，关键内容把握得当，计11.1-20分； 针对本项目理解单一、需求分析含糊，描述较详细，关键内容可行性不足，计5.1-11分； 针对本项目理解需求分析有偏差、关键内容阐述不明确，不利于项目实施，计0.1-5分；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围绕本项目工作主题，对本项目的各项服务内容提供具体详细设计方案（包括但不限于设计思路、设计目标以及设计依据） 设计思路清晰、可实施性强，设计目标明确、有清晰的目标设计图、可行性高，设计依据规范、全面符合国家及行业规程及规范要求的根据响应情况计11.1-20分； 设计思路较清晰、可实施性较强，设计目标比较明确、有大概的目标设计图、可行性较高，设计依据较规范、全面根据响应情况计5.1-11分； 设计思路比较模糊、可实施性不高，设计目标不明确、目标设计图不清晰、可行性不高，设计依据较模糊根据响应情况计0.1-5分；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进度 安排</w:t>
            </w:r>
          </w:p>
        </w:tc>
        <w:tc>
          <w:tcPr>
            <w:tcW w:type="dxa" w:w="2492"/>
          </w:tcPr>
          <w:p>
            <w:pPr>
              <w:pStyle w:val="null3"/>
            </w:pPr>
            <w:r>
              <w:rPr>
                <w:rFonts w:ascii="仿宋_GB2312" w:hAnsi="仿宋_GB2312" w:cs="仿宋_GB2312" w:eastAsia="仿宋_GB2312"/>
              </w:rPr>
              <w:t>磋商小组根据供应商提供的针对本项目的进度安排（包括但不限于工作进度、各环节的工作程序和步骤等）进行打分 工作进度安排合理、明确，各环节工作衔接有序、步骤清晰，合理符合本项目日程要求的计7.1-10分； 工作进度安排基本合理、明确，各环节工作衔接时间节点把握较合理，较明确完整、步骤较清晰的基本符合本项目日程要求的计3.1-7分； 工作进度安排内容有所欠缺，各环节时间节点把握不够合理，针对性不强，步骤模糊的计0.1-3分；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 配备</w:t>
            </w:r>
          </w:p>
        </w:tc>
        <w:tc>
          <w:tcPr>
            <w:tcW w:type="dxa" w:w="2492"/>
          </w:tcPr>
          <w:p>
            <w:pPr>
              <w:pStyle w:val="null3"/>
            </w:pPr>
            <w:r>
              <w:rPr>
                <w:rFonts w:ascii="仿宋_GB2312" w:hAnsi="仿宋_GB2312" w:cs="仿宋_GB2312" w:eastAsia="仿宋_GB2312"/>
              </w:rPr>
              <w:t>根据供应商提供的服务团队其他成员配置内容（包括但不限于团队人员配置、团队专业能力及工作经验、团队管理方案）进行综合评分。 团队人员配置完整合理、分工明确、岗位职责明确、工作经验丰富、专业能力强、有制定完整合理可行的管理方案的计7.1-10分； 团队人员配置单一、分工基本合理、岗位职责较明确、有相应的工作经验、有相应管理方案基本可行的计3.1-7分； 团队人员配置不合理、岗位职责模糊、没有相应的工作经验、管理方案不可行根据响应情况计0.1-3分。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业绩：提供2023年以来至今同类项目合同（以合同签订日期为准），每提供1个得1分，最高得5分。 备注：响应文件中提供合同复印件加盖公章，原件现场备查，未提供原件的以复印件为准。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后期服务配合</w:t>
            </w:r>
          </w:p>
        </w:tc>
        <w:tc>
          <w:tcPr>
            <w:tcW w:type="dxa" w:w="2492"/>
          </w:tcPr>
          <w:p>
            <w:pPr>
              <w:pStyle w:val="null3"/>
            </w:pPr>
            <w:r>
              <w:rPr>
                <w:rFonts w:ascii="仿宋_GB2312" w:hAnsi="仿宋_GB2312" w:cs="仿宋_GB2312" w:eastAsia="仿宋_GB2312"/>
              </w:rPr>
              <w:t>磋商小组根据供应商针对本项目实施过程中出现的配合方案（包括但不限于与采购人沟通配合方案以及在项目实施中出现的各种问题等）以及其他突发事件的处理措施进行打分。 方案内容全面、完善具体，突发事件的处理措施流程完整，处理思路清晰，可操作性高，计7.1-10分； 方案内容较全面具体，突发事件的处理措施流程较完整，处理思路较清晰，可操作性较高，计3.1-7分； 方案内容基本全面具体，有基本的突发事件的处理措施的计0.1-3分。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磋商小组根据供应商针对本项目提供的质量保障措施进行打分（包括但不限于质量保障方案、质量控制体系等） 内容完整具体、科学合理、保障方案得力、针对项目需求且可行性强的计7.1-10分； 内容较完整具体、科学合理性较好、保障方案可行、针对项目需求且可行性较好的计3.1-7分； 内容基本合理可行略有欠缺、部分需进一步修改完善方可满足项目要求的计0.1-3分；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