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版本号：SXZZ-采-【H2026-011301】20260112001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春节慰问物资采购项目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SXZZ-采-【H2026-011301】</w:t>
      </w:r>
      <w:r>
        <w:br/>
      </w:r>
      <w:r>
        <w:br/>
      </w:r>
      <w:r>
        <w:br/>
      </w:r>
    </w:p>
    <w:p>
      <w:pPr>
        <w:pStyle w:val="null3"/>
        <w:jc w:val="center"/>
        <w:outlineLvl w:val="2"/>
      </w:pPr>
      <w:r>
        <w:rPr>
          <w:rFonts w:ascii="仿宋_GB2312" w:hAnsi="仿宋_GB2312" w:cs="仿宋_GB2312" w:eastAsia="仿宋_GB2312"/>
          <w:sz w:val="28"/>
          <w:b/>
        </w:rPr>
        <w:t>澄城县民政局</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澄城县民政局</w:t>
      </w:r>
      <w:r>
        <w:rPr>
          <w:rFonts w:ascii="仿宋_GB2312" w:hAnsi="仿宋_GB2312" w:cs="仿宋_GB2312" w:eastAsia="仿宋_GB2312"/>
        </w:rPr>
        <w:t>委托，拟对</w:t>
      </w:r>
      <w:r>
        <w:rPr>
          <w:rFonts w:ascii="仿宋_GB2312" w:hAnsi="仿宋_GB2312" w:cs="仿宋_GB2312" w:eastAsia="仿宋_GB2312"/>
        </w:rPr>
        <w:t>春节慰问物资采购项目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SXZZ-采-【H2026-011301】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春节慰问物资采购项目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对澄城县民政局春节慰问物资用品及伴随服务等进行采购。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3、财务状况报告：提供2025年任意一个月的财务报表（至少包含资产负债表、利润表、现金流量表）或供应商开户行针对本项目开具的资信证明</w:t>
      </w:r>
    </w:p>
    <w:p>
      <w:pPr>
        <w:pStyle w:val="null3"/>
      </w:pPr>
      <w:r>
        <w:rPr>
          <w:rFonts w:ascii="仿宋_GB2312" w:hAnsi="仿宋_GB2312" w:cs="仿宋_GB2312" w:eastAsia="仿宋_GB2312"/>
        </w:rPr>
        <w:t>4、完税证明及社保缴纳凭证：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p>
      <w:pPr>
        <w:pStyle w:val="null3"/>
      </w:pPr>
      <w:r>
        <w:rPr>
          <w:rFonts w:ascii="仿宋_GB2312" w:hAnsi="仿宋_GB2312" w:cs="仿宋_GB2312" w:eastAsia="仿宋_GB2312"/>
        </w:rPr>
        <w:t>6、无重大违法违规行为声明：供应商在参加本采购活动前三年内（2023年1月至投标截止时间止）在经营活动中无重大违法违规等记录的书面声明</w:t>
      </w:r>
    </w:p>
    <w:p>
      <w:pPr>
        <w:pStyle w:val="null3"/>
      </w:pPr>
      <w:r>
        <w:rPr>
          <w:rFonts w:ascii="仿宋_GB2312" w:hAnsi="仿宋_GB2312" w:cs="仿宋_GB2312" w:eastAsia="仿宋_GB2312"/>
        </w:rPr>
        <w:t>7、禁止投标：①法定代表人或负责人为同一人或存在直接控股、管理关系的不同单位，不得同时参加本项目同一标段投标；②与采购人存在利害关系的单位不得参加本项目投标；③法律法规规定的其他禁止投标情形</w:t>
      </w:r>
    </w:p>
    <w:p>
      <w:pPr>
        <w:pStyle w:val="null3"/>
      </w:pPr>
      <w:r>
        <w:rPr>
          <w:rFonts w:ascii="仿宋_GB2312" w:hAnsi="仿宋_GB2312" w:cs="仿宋_GB2312" w:eastAsia="仿宋_GB2312"/>
        </w:rPr>
        <w:t>8、非联合体投标：提供非联合体投标声明函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3、财务状况报告：提供2025年任意一个月的财务报表（至少包含资产负债表、利润表、现金流量表）或供应商开户行针对本项目开具的资信证明</w:t>
      </w:r>
    </w:p>
    <w:p>
      <w:pPr>
        <w:pStyle w:val="null3"/>
      </w:pPr>
      <w:r>
        <w:rPr>
          <w:rFonts w:ascii="仿宋_GB2312" w:hAnsi="仿宋_GB2312" w:cs="仿宋_GB2312" w:eastAsia="仿宋_GB2312"/>
        </w:rPr>
        <w:t>4、完税证明及社保缴纳凭证：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5、资质要求：供应商为生产厂家的须提供《食品生产许可证》；为经销商的须提供《食品经营许可证》或食品经营备案证明及生产厂家的《食品生产许可证》</w:t>
      </w:r>
    </w:p>
    <w:p>
      <w:pPr>
        <w:pStyle w:val="null3"/>
      </w:pPr>
      <w:r>
        <w:rPr>
          <w:rFonts w:ascii="仿宋_GB2312" w:hAnsi="仿宋_GB2312" w:cs="仿宋_GB2312" w:eastAsia="仿宋_GB2312"/>
        </w:rPr>
        <w:t>6、供应商信用查询：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p>
      <w:pPr>
        <w:pStyle w:val="null3"/>
      </w:pPr>
      <w:r>
        <w:rPr>
          <w:rFonts w:ascii="仿宋_GB2312" w:hAnsi="仿宋_GB2312" w:cs="仿宋_GB2312" w:eastAsia="仿宋_GB2312"/>
        </w:rPr>
        <w:t>7、无重大违法违规行为声明：供应商在参加本采购活动前三年内（2023年1月至投标截止时间止）在经营活动中无重大违法违规等记录的书面声明</w:t>
      </w:r>
    </w:p>
    <w:p>
      <w:pPr>
        <w:pStyle w:val="null3"/>
      </w:pPr>
      <w:r>
        <w:rPr>
          <w:rFonts w:ascii="仿宋_GB2312" w:hAnsi="仿宋_GB2312" w:cs="仿宋_GB2312" w:eastAsia="仿宋_GB2312"/>
        </w:rPr>
        <w:t>8、禁止投标：①法定代表人或负责人为同一人或存在直接控股、管理关系的不同单位，不得同时参加本项目同一标段投标；②与采购人存在利害关系的单位不得参加本项目投标；③法律法规规定的其他禁止投标情形</w:t>
      </w:r>
    </w:p>
    <w:p>
      <w:pPr>
        <w:pStyle w:val="null3"/>
      </w:pPr>
      <w:r>
        <w:rPr>
          <w:rFonts w:ascii="仿宋_GB2312" w:hAnsi="仿宋_GB2312" w:cs="仿宋_GB2312" w:eastAsia="仿宋_GB2312"/>
        </w:rPr>
        <w:t>9、非联合体投标：提供非联合体投标声明函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澄城县古徵街5路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澄城县民政局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18892188966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陕西省西安市莲湖区沣惠路南段艺腾国际商务大厦十楼1015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招标五部-范博、左金娟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p>
          <w:p>
            <w:pPr>
              <w:pStyle w:val="null3"/>
            </w:pPr>
            <w:r>
              <w:rPr>
                <w:rFonts w:ascii="仿宋_GB2312" w:hAnsi="仿宋_GB2312" w:cs="仿宋_GB2312" w:eastAsia="仿宋_GB2312"/>
              </w:rPr>
              <w:t>采购包2：475,000.00元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棉衣、棉被</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代理服务费收费标准：1.以采购人与代理机构委托协议为准。参照《招标代理服务收费管理暂行办法》计价格[2002]1980号文及发改价格[2015]299号文件相关规定，每包收取人民币玖仟元整。 2.支付时间：中标人确定之日起2日内由中标人一次性全额支付。费用包含在投标报价中，无论计算与否，均视为已知（中标人确定之日应当收取）。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澄城县民政局</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2.履约验收主体：采购人或其委托的第三方。3.履约验收依据：招标文件、中标人投标文件、采购合同及送货通知单等。 4.履约验收标准：依据招标文件规定的国家、行业相关标准规范，满足采购要求。5.履约验收要求：采购人应及时对供应商每次供货内容进行履约验收，不符合质量要求的货品坚决不能收货入库，验收人应对验收过程做好详细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1.履约争议或违约： 供应商在合同履行过程中出现的争议及违约，按合同约定及民法典的规定追究违约方责任。有政府采购法律法规规定的违法违规情形的，采购人应当及时报告财政管理部门。 2.履约验收主体：采购人或其委托的第三方。3.履约验收依据：招标文件、中标人投标文件、采购合同及送货通知单等。 4.履约验收标准：依据招标文件规定的国家、行业相关标准规范，满足采购要求。5.履约验收要求：采购人应及时对供应商每次供货内容进行履约验收，不符合质量要求的货品坚决不能收货入库，验收人应对验收过程做好详细记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对澄城县民政局春节慰问物资用品及伴随服务等进行采购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棉衣及棉被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面粉及食用油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标的名称：棉衣及棉被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1、采购清单</w:t>
            </w:r>
          </w:p>
          <w:tbl>
            <w:tblPr>
              <w:tblBorders>
                <w:top w:val="none" w:color="000000" w:sz="4"/>
                <w:left w:val="none" w:color="000000" w:sz="4"/>
                <w:bottom w:val="none" w:color="000000" w:sz="4"/>
                <w:right w:val="none" w:color="000000" w:sz="4"/>
                <w:insideH w:val="none"/>
                <w:insideV w:val="none"/>
              </w:tblBorders>
            </w:tblPr>
            <w:tblGrid>
              <w:gridCol w:w="246"/>
              <w:gridCol w:w="557"/>
              <w:gridCol w:w="401"/>
              <w:gridCol w:w="348"/>
              <w:gridCol w:w="100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名称（成品）</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w:t>
                  </w:r>
                  <w:r>
                    <w:rPr>
                      <w:rFonts w:ascii="仿宋_GB2312" w:hAnsi="仿宋_GB2312" w:cs="仿宋_GB2312" w:eastAsia="仿宋_GB2312"/>
                      <w:sz w:val="21"/>
                    </w:rPr>
                    <w:t>棉衣</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完整履约需要的其他内容：外包装、捆包绳等其他物料及伴随服务，其费用若不另行报出，则视为含在投标报价中。</w:t>
                  </w:r>
                </w:p>
              </w:tc>
            </w:tr>
          </w:tbl>
          <w:p>
            <w:pPr>
              <w:pStyle w:val="null3"/>
              <w:ind w:firstLine="200"/>
            </w:pPr>
            <w:r>
              <w:rPr>
                <w:rFonts w:ascii="仿宋_GB2312" w:hAnsi="仿宋_GB2312" w:cs="仿宋_GB2312" w:eastAsia="仿宋_GB2312"/>
                <w:sz w:val="21"/>
              </w:rPr>
              <w:t>使用场景：澄城县各个乡镇分散特困供养对象，中老年男女性。</w:t>
            </w:r>
          </w:p>
          <w:p>
            <w:pPr>
              <w:pStyle w:val="null3"/>
            </w:pPr>
            <w:r>
              <w:rPr>
                <w:rFonts w:ascii="仿宋_GB2312" w:hAnsi="仿宋_GB2312" w:cs="仿宋_GB2312" w:eastAsia="仿宋_GB2312"/>
                <w:sz w:val="21"/>
              </w:rPr>
              <w:t>2、技术质量要求</w:t>
            </w:r>
          </w:p>
          <w:p>
            <w:pPr>
              <w:pStyle w:val="null3"/>
            </w:pPr>
            <w:r>
              <w:rPr>
                <w:rFonts w:ascii="仿宋_GB2312" w:hAnsi="仿宋_GB2312" w:cs="仿宋_GB2312" w:eastAsia="仿宋_GB2312"/>
              </w:rPr>
              <w:t>2.</w:t>
            </w:r>
            <w:r>
              <w:rPr>
                <w:rFonts w:ascii="仿宋_GB2312" w:hAnsi="仿宋_GB2312" w:cs="仿宋_GB2312" w:eastAsia="仿宋_GB2312"/>
                <w:sz w:val="21"/>
              </w:rPr>
              <w:t>1棉被</w:t>
            </w:r>
          </w:p>
          <w:tbl>
            <w:tblPr>
              <w:tblInd w:type="dxa" w:w="15"/>
              <w:tblBorders>
                <w:top w:val="none" w:color="000000" w:sz="4"/>
                <w:left w:val="none" w:color="000000" w:sz="4"/>
                <w:bottom w:val="none" w:color="000000" w:sz="4"/>
                <w:right w:val="none" w:color="000000" w:sz="4"/>
                <w:insideH w:val="none"/>
                <w:insideV w:val="none"/>
              </w:tblBorders>
            </w:tblPr>
            <w:tblGrid>
              <w:gridCol w:w="214"/>
              <w:gridCol w:w="268"/>
              <w:gridCol w:w="364"/>
              <w:gridCol w:w="1242"/>
              <w:gridCol w:w="293"/>
            </w:tblGrid>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用途</w:t>
                  </w: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纯棉</w:t>
                  </w:r>
                </w:p>
                <w:p>
                  <w:pPr>
                    <w:pStyle w:val="null3"/>
                    <w:jc w:val="center"/>
                  </w:pPr>
                  <w:r>
                    <w:rPr>
                      <w:rFonts w:ascii="仿宋_GB2312" w:hAnsi="仿宋_GB2312" w:cs="仿宋_GB2312" w:eastAsia="仿宋_GB2312"/>
                      <w:sz w:val="21"/>
                    </w:rPr>
                    <w:t>印花布</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▲1.面料平纹纯棉印花布，纱线： 32S×32S  68×68。正反面无明显色差，符合美观、舒适及采购人要求。缝纫线的颜色应与面料相匹配。甲醛含量：无。提供清晰可辩的拟投棉被的彩色图片，否则后果自负。</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棉被面、里</w:t>
                  </w: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2.被子规格：长*宽210*150cm,(允许偏差不大于-1.5cm)。棉被面、里与絮料长、宽尺寸的上、下偏差不得同时存在。水洗尺寸变化率符合标准要求。</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3.pH值：4.0-8.5</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▲4.耐摩擦色牢度：干摩擦≥4 级，湿摩擦≥3-4 级；耐皂洗色牢度：≥3-4 级；耐水色牢度：≥3-4 级；耐酸碱汗渍色牢度：≥3-4 级。</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5.下料要求：</w:t>
                  </w:r>
                </w:p>
                <w:p>
                  <w:pPr>
                    <w:pStyle w:val="null3"/>
                    <w:jc w:val="both"/>
                  </w:pPr>
                  <w:r>
                    <w:rPr>
                      <w:rFonts w:ascii="仿宋_GB2312" w:hAnsi="仿宋_GB2312" w:cs="仿宋_GB2312" w:eastAsia="仿宋_GB2312"/>
                      <w:sz w:val="21"/>
                    </w:rPr>
                    <w:t>下料方向：被面、被里-经向；</w:t>
                  </w:r>
                </w:p>
                <w:p>
                  <w:pPr>
                    <w:pStyle w:val="null3"/>
                    <w:jc w:val="both"/>
                  </w:pPr>
                  <w:r>
                    <w:rPr>
                      <w:rFonts w:ascii="仿宋_GB2312" w:hAnsi="仿宋_GB2312" w:cs="仿宋_GB2312" w:eastAsia="仿宋_GB2312"/>
                      <w:sz w:val="21"/>
                    </w:rPr>
                    <w:t>拼接道数：被面-不允许，被里纬向可1道（距端头不少于40.0㎝）；</w:t>
                  </w:r>
                </w:p>
                <w:p>
                  <w:pPr>
                    <w:pStyle w:val="null3"/>
                    <w:jc w:val="both"/>
                  </w:pPr>
                  <w:r>
                    <w:rPr>
                      <w:rFonts w:ascii="仿宋_GB2312" w:hAnsi="仿宋_GB2312" w:cs="仿宋_GB2312" w:eastAsia="仿宋_GB2312"/>
                      <w:sz w:val="21"/>
                    </w:rPr>
                    <w:t>可面、里连裁，面里按标准尺寸各加放10㎝备放量。</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▲6.白色念珠菌≥85%；大肠杆菌、金黄色葡萄球菌≥90%。</w:t>
                  </w:r>
                </w:p>
              </w:tc>
              <w:tc>
                <w:tcPr>
                  <w:tcW w:type="dxa" w:w="293"/>
                  <w:vMerge/>
                  <w:tcBorders>
                    <w:top w:val="none" w:color="000000" w:sz="4"/>
                    <w:left w:val="singl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白   棉</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▲7.白棉3级/31级或以上；棉被总重≥3500g，允许最大偏差-100g。</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被胎</w:t>
                  </w: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▲8.不得检出绿脓杆菌、金黄色葡萄球菌和溶血性链菌等致病菌。含杂率≤0.8%。</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9.被胎外观色泽自然，平展均匀，手感柔软蓬松有韧性，不易撕开，无杂物、板结、深色油污，无异味。回弹性保温性好。</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10.保暖性好，压缩回弹率高，不得使用回收棉、再加工纤维或黑心棉、假冒伪劣产品、三无产品等存在安全隐患的产品，确保人身安全。</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11.执行标准：GB/T 35932-2018及国家、行业相关标准。供应商提供的检测报告依据标准须符合本项目质量标准及国家相关强制性标准要求，满足采购要求。</w:t>
                  </w:r>
                </w:p>
              </w:tc>
              <w:tc>
                <w:tcPr>
                  <w:tcW w:type="dxa" w:w="293"/>
                  <w:vMerge/>
                  <w:tcBorders>
                    <w:top w:val="none" w:color="000000" w:sz="4"/>
                    <w:left w:val="singl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   纱</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12.（不低于）全棉32支纱。</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包棉花被胎</w:t>
                  </w: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须进行研磨处理，贴合度、平整度高，不易钻绒、变形。</w:t>
                  </w:r>
                  <w:r>
                    <w:rPr>
                      <w:rFonts w:ascii="仿宋_GB2312" w:hAnsi="仿宋_GB2312" w:cs="仿宋_GB2312" w:eastAsia="仿宋_GB2312"/>
                      <w:sz w:val="21"/>
                    </w:rPr>
                    <w:t>研磨率≥85%。</w:t>
                  </w:r>
                </w:p>
              </w:tc>
              <w:tc>
                <w:tcPr>
                  <w:tcW w:type="dxa" w:w="293"/>
                  <w:vMerge/>
                  <w:tcBorders>
                    <w:top w:val="none" w:color="000000" w:sz="4"/>
                    <w:left w:val="singl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14.11.8tex×3</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缝纫</w:t>
                  </w: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15.缝纫针距：棉被面、里接合及拼接11针～13针/3cm。被套短边封口端为3#尼龙拉链方式或系带方式。拉链方式封口要居中绱长度不低于100cm尼龙拉链；系带方式开口不低于100cm，至少三组系带，带长15cm。</w:t>
                  </w:r>
                </w:p>
              </w:tc>
              <w:tc>
                <w:tcPr>
                  <w:tcW w:type="dxa" w:w="293"/>
                  <w:vMerge/>
                  <w:tcBorders>
                    <w:top w:val="none" w:color="000000" w:sz="4"/>
                    <w:left w:val="single" w:color="000000" w:sz="4"/>
                    <w:bottom w:val="single" w:color="000000" w:sz="4"/>
                    <w:right w:val="single" w:color="000000" w:sz="4"/>
                  </w:tcBorders>
                </w:tcPr>
                <w:p/>
              </w:tc>
            </w:tr>
            <w:tr>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聚丙烯编织布</w:t>
                  </w:r>
                </w:p>
              </w:tc>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16.单面复膜型，≥80 g/㎡，符合国家或行业标准。</w:t>
                  </w:r>
                </w:p>
              </w:tc>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外包装</w:t>
                  </w: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17.编织布结合处用绳缝合牢固，用绳三道捆扎成“卅”型。每包10床，或按合同规定执行。</w:t>
                  </w:r>
                </w:p>
              </w:tc>
              <w:tc>
                <w:tcPr>
                  <w:tcW w:type="dxa" w:w="293"/>
                  <w:vMerge/>
                  <w:tcBorders>
                    <w:top w:val="none" w:color="000000" w:sz="4"/>
                    <w:left w:val="single" w:color="000000" w:sz="4"/>
                    <w:bottom w:val="single" w:color="000000" w:sz="4"/>
                    <w:right w:val="single" w:color="000000" w:sz="4"/>
                  </w:tcBorders>
                </w:tcPr>
                <w:p/>
              </w:tc>
            </w:tr>
            <w:tr>
              <w:tc>
                <w:tcPr>
                  <w:tcW w:type="dxa" w:w="214"/>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364"/>
                  <w:vMerge/>
                  <w:tcBorders>
                    <w:top w:val="none" w:color="000000" w:sz="4"/>
                    <w:left w:val="single" w:color="000000" w:sz="4"/>
                    <w:bottom w:val="single" w:color="000000" w:sz="4"/>
                    <w:right w:val="single" w:color="000000" w:sz="4"/>
                  </w:tcBorders>
                </w:tcP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18.包装标志：</w:t>
                  </w:r>
                </w:p>
                <w:p>
                  <w:pPr>
                    <w:pStyle w:val="null3"/>
                    <w:ind w:firstLine="200"/>
                    <w:jc w:val="both"/>
                  </w:pPr>
                  <w:r>
                    <w:rPr>
                      <w:rFonts w:ascii="仿宋_GB2312" w:hAnsi="仿宋_GB2312" w:cs="仿宋_GB2312" w:eastAsia="仿宋_GB2312"/>
                      <w:sz w:val="21"/>
                    </w:rPr>
                    <w:t>1）外包装上、下两面需标注产品名称、数量、重量、生产日期、承制单位名称、生产批号和监制单位名称。其产品名称、承制单位名称及监制单位名称为黑体字，其余为宋体字；字体大小适宜、布局合理，标注示例见下图1；</w:t>
                  </w:r>
                </w:p>
                <w:p>
                  <w:pPr>
                    <w:pStyle w:val="null3"/>
                    <w:jc w:val="both"/>
                  </w:pPr>
                  <w:r>
                    <w:rPr>
                      <w:rFonts w:ascii="仿宋_GB2312" w:hAnsi="仿宋_GB2312" w:cs="仿宋_GB2312" w:eastAsia="仿宋_GB2312"/>
                      <w:sz w:val="21"/>
                    </w:rPr>
                    <w:t>2）每包内需放检验单, 样式见下图2。其中“检验单”、“产品名称”、“数量”、“生产日期”、“检验人员”、“承制单位名称”标题为黑体字，其他为宋体字。检验单尺寸为B5纸的1/4，字体大小适宜。</w:t>
                  </w:r>
                </w:p>
              </w:tc>
              <w:tc>
                <w:tcPr>
                  <w:tcW w:type="dxa" w:w="293"/>
                  <w:vMerge/>
                  <w:tcBorders>
                    <w:top w:val="none" w:color="000000" w:sz="4"/>
                    <w:left w:val="singl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缝包绳</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19.φ0.2-0.3㎝ ，至少两股，断裂强力 ≥200N</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捆包绳</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20.φ0.7-0.9㎝ ，至少三股，断裂强力 ≥1400N。</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w:t>
                  </w:r>
                </w:p>
              </w:tc>
            </w:tr>
          </w:tbl>
          <w:p>
            <w:pPr>
              <w:pStyle w:val="null3"/>
              <w:jc w:val="both"/>
            </w:pPr>
            <w:r>
              <w:rPr>
                <w:rFonts w:ascii="仿宋_GB2312" w:hAnsi="仿宋_GB2312" w:cs="仿宋_GB2312" w:eastAsia="仿宋_GB2312"/>
                <w:sz w:val="21"/>
              </w:rPr>
              <w:t>附图</w:t>
            </w:r>
          </w:p>
          <w:p>
            <w:pPr>
              <w:pStyle w:val="null3"/>
              <w:jc w:val="both"/>
            </w:pPr>
            <w:r>
              <w:rPr>
                <w:rFonts w:ascii="仿宋_GB2312" w:hAnsi="仿宋_GB2312" w:cs="仿宋_GB2312" w:eastAsia="仿宋_GB2312"/>
                <w:sz w:val="21"/>
              </w:rPr>
              <w:t xml:space="preserve">（1）标注示例图1 </w:t>
            </w:r>
          </w:p>
          <w:p>
            <w:pPr>
              <w:pStyle w:val="null3"/>
              <w:ind w:firstLine="2800"/>
            </w:pPr>
            <w:r>
              <w:rPr>
                <w:rFonts w:ascii="仿宋_GB2312" w:hAnsi="仿宋_GB2312" w:cs="仿宋_GB2312" w:eastAsia="仿宋_GB2312"/>
                <w:sz w:val="21"/>
              </w:rPr>
              <w:t>图1 产品标志布</w:t>
            </w:r>
          </w:p>
          <w:tbl>
            <w:tblPr>
              <w:tblBorders>
                <w:top w:val="none" w:color="000000" w:sz="4"/>
                <w:left w:val="none" w:color="000000" w:sz="4"/>
                <w:bottom w:val="none" w:color="000000" w:sz="4"/>
                <w:right w:val="none" w:color="000000" w:sz="4"/>
                <w:insideH w:val="none"/>
                <w:insideV w:val="none"/>
              </w:tblBorders>
            </w:tblPr>
            <w:tblGrid>
              <w:gridCol w:w="930"/>
              <w:gridCol w:w="406"/>
              <w:gridCol w:w="1055"/>
            </w:tblGrid>
            <w:tr>
              <w:tc>
                <w:tcPr>
                  <w:tcW w:type="dxa" w:w="2391"/>
                  <w:gridSpan w:val="3"/>
                  <w:tcBorders>
                    <w:top w:val="single" w:color="000000" w:sz="8"/>
                    <w:left w:val="single" w:color="000000" w:sz="8"/>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w:t>
                  </w:r>
                </w:p>
              </w:tc>
            </w:tr>
            <w:tr>
              <w:tc>
                <w:tcPr>
                  <w:tcW w:type="dxa" w:w="930"/>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10床</w:t>
                  </w:r>
                </w:p>
              </w:tc>
              <w:tc>
                <w:tcPr>
                  <w:tcW w:type="dxa" w:w="10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Kg</w:t>
                  </w:r>
                </w:p>
              </w:tc>
            </w:tr>
            <w:tr>
              <w:tc>
                <w:tcPr>
                  <w:tcW w:type="dxa" w:w="1336"/>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    月</w:t>
                  </w:r>
                </w:p>
              </w:tc>
              <w:tc>
                <w:tcPr>
                  <w:tcW w:type="dxa" w:w="1055"/>
                  <w:vMerge w:val="restart"/>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生产批号：</w:t>
                  </w:r>
                </w:p>
              </w:tc>
            </w:tr>
            <w:tr>
              <w:tc>
                <w:tcPr>
                  <w:tcW w:type="dxa" w:w="1336"/>
                  <w:gridSpan w:val="2"/>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承制单位名称：</w:t>
                  </w:r>
                </w:p>
              </w:tc>
              <w:tc>
                <w:tcPr>
                  <w:tcW w:type="dxa" w:w="1055"/>
                  <w:vMerge/>
                  <w:tcBorders>
                    <w:top w:val="none" w:color="000000" w:sz="4"/>
                    <w:left w:val="single" w:color="000000" w:sz="4"/>
                    <w:bottom w:val="single" w:color="000000" w:sz="4"/>
                    <w:right w:val="single" w:color="000000" w:sz="8"/>
                  </w:tcBorders>
                </w:tcPr>
                <w:p/>
              </w:tc>
            </w:tr>
            <w:tr>
              <w:tc>
                <w:tcPr>
                  <w:tcW w:type="dxa" w:w="2391"/>
                  <w:gridSpan w:val="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监制单位名称：澄城县民政局</w:t>
                  </w:r>
                </w:p>
              </w:tc>
            </w:tr>
          </w:tbl>
          <w:p>
            <w:pPr>
              <w:pStyle w:val="null3"/>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（2）图2检验单样式</w:t>
            </w:r>
          </w:p>
          <w:tbl>
            <w:tblPr>
              <w:tblBorders>
                <w:top w:val="none" w:color="000000" w:sz="4"/>
                <w:left w:val="none" w:color="000000" w:sz="4"/>
                <w:bottom w:val="none" w:color="000000" w:sz="4"/>
                <w:right w:val="none" w:color="000000" w:sz="4"/>
                <w:insideH w:val="none"/>
                <w:insideV w:val="none"/>
              </w:tblBorders>
            </w:tblPr>
            <w:tblGrid>
              <w:gridCol w:w="1142"/>
              <w:gridCol w:w="1411"/>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检　验　单</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产品名称</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    量</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床</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生产日期</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年    月    日</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检验人员</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（检验工号）</w:t>
                  </w:r>
                </w:p>
              </w:tc>
            </w:tr>
            <w:tr>
              <w:tc>
                <w:tcPr>
                  <w:tcW w:type="dxa" w:w="1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承制单位名称</w:t>
                  </w: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（单位全称）</w:t>
                  </w:r>
                </w:p>
              </w:tc>
            </w:tr>
          </w:tbl>
          <w:p>
            <w:pPr>
              <w:pStyle w:val="null3"/>
            </w:pPr>
            <w:r>
              <w:rPr>
                <w:rFonts w:ascii="仿宋_GB2312" w:hAnsi="仿宋_GB2312" w:cs="仿宋_GB2312" w:eastAsia="仿宋_GB2312"/>
                <w:sz w:val="21"/>
              </w:rPr>
              <w:t>2.2</w:t>
            </w:r>
            <w:r>
              <w:rPr>
                <w:rFonts w:ascii="仿宋_GB2312" w:hAnsi="仿宋_GB2312" w:cs="仿宋_GB2312" w:eastAsia="仿宋_GB2312"/>
                <w:sz w:val="21"/>
                <w:b/>
              </w:rPr>
              <w:t>＃</w:t>
            </w:r>
            <w:r>
              <w:rPr>
                <w:rFonts w:ascii="仿宋_GB2312" w:hAnsi="仿宋_GB2312" w:cs="仿宋_GB2312" w:eastAsia="仿宋_GB2312"/>
                <w:sz w:val="21"/>
              </w:rPr>
              <w:t>棉衣（核心产品）</w:t>
            </w:r>
          </w:p>
          <w:tbl>
            <w:tblPr>
              <w:tblBorders>
                <w:top w:val="none" w:color="000000" w:sz="4"/>
                <w:left w:val="none" w:color="000000" w:sz="4"/>
                <w:bottom w:val="none" w:color="000000" w:sz="4"/>
                <w:right w:val="none" w:color="000000" w:sz="4"/>
                <w:insideH w:val="none"/>
                <w:insideV w:val="none"/>
              </w:tblBorders>
            </w:tblPr>
            <w:tblGrid>
              <w:gridCol w:w="219"/>
              <w:gridCol w:w="272"/>
              <w:gridCol w:w="434"/>
              <w:gridCol w:w="1474"/>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2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棉衣</w:t>
                  </w: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▲21.款式</w:t>
                  </w:r>
                  <w:r>
                    <w:rPr>
                      <w:rFonts w:ascii="仿宋_GB2312" w:hAnsi="仿宋_GB2312" w:cs="仿宋_GB2312" w:eastAsia="仿宋_GB2312"/>
                      <w:sz w:val="21"/>
                    </w:rPr>
                    <w:t>：中长款（拉</w:t>
                  </w:r>
                  <w:r>
                    <w:rPr>
                      <w:rFonts w:ascii="仿宋_GB2312" w:hAnsi="仿宋_GB2312" w:cs="仿宋_GB2312" w:eastAsia="仿宋_GB2312"/>
                      <w:sz w:val="21"/>
                    </w:rPr>
                    <w:t>链+扣子）、宽松棉衣、外斜插兜（带拉链）、连帽款（可拆卸）、深色。须提供清晰可辩的拟投棉衣的彩色图片（正背两面），否则后果自负。</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▲22.面、里料：100%聚酯纤维。</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▲23.填充物：100%聚酯纤维羽丝棉。</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24.号型：分为大号(176-185cm)、中号(166-175cm)和小号(160-165cm)。</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25.剪裁：棉衣的剪裁应合身、舒适，线条流畅，不得有断裂、断头、断线、跳跃等现象。</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26.缝制:缝制工艺应精细，线迹匀称，缝纫线路顺直，距边宽窄一致，左右对称，定位准确，结合牢固，松紧适宜；不得有漏针、跳线、断线等缺陷，线头应处理妥当，不得有松散或者突出现象。</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27.成品外观：整体平整，手感柔软，不得有线头、絮丝、油污等杂物，无异味，不易掉色。</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▲28.甲醛、PH值、色牢度料等指标符合国家行业相关标准规范要求。</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29.不得使用黑心棉、假冒伪劣产品、三无产品等，确保人身安全。</w:t>
                  </w:r>
                </w:p>
              </w:tc>
            </w:tr>
            <w:tr>
              <w:tc>
                <w:tcPr>
                  <w:tcW w:type="dxa" w:w="219"/>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30.执行标准:GB/T2662-2017及国家、行业相关标准。供应商提供的检测报告依据标准须符合本项目质量标准及国家相关强制性标准要求，满足采购要求。</w:t>
                  </w: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标的名称：面粉及食用油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1、采购清单</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578"/>
              <w:gridCol w:w="417"/>
              <w:gridCol w:w="295"/>
              <w:gridCol w:w="1007"/>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名称（成品）</w:t>
                  </w:r>
                </w:p>
              </w:tc>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计量单位</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袋</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完整履约需要的其他内容及伴随服务，其费用若不另行报出，则视为含在投标报价中。</w:t>
                  </w:r>
                </w:p>
              </w:tc>
            </w:tr>
          </w:tbl>
          <w:p>
            <w:pPr>
              <w:pStyle w:val="null3"/>
              <w:jc w:val="both"/>
            </w:pPr>
            <w:r>
              <w:rPr>
                <w:rFonts w:ascii="仿宋_GB2312" w:hAnsi="仿宋_GB2312" w:cs="仿宋_GB2312" w:eastAsia="仿宋_GB2312"/>
                <w:sz w:val="21"/>
              </w:rPr>
              <w:t>①使用场景：澄城县澄城县各个乡镇分散特困供养对象。</w:t>
            </w:r>
          </w:p>
          <w:p>
            <w:pPr>
              <w:pStyle w:val="null3"/>
              <w:jc w:val="both"/>
            </w:pPr>
            <w:r>
              <w:rPr>
                <w:rFonts w:ascii="仿宋_GB2312" w:hAnsi="仿宋_GB2312" w:cs="仿宋_GB2312" w:eastAsia="仿宋_GB2312"/>
                <w:sz w:val="21"/>
              </w:rPr>
              <w:t>2、技术质量要求</w:t>
            </w:r>
          </w:p>
          <w:p>
            <w:pPr>
              <w:pStyle w:val="null3"/>
              <w:jc w:val="both"/>
            </w:pPr>
            <w:r>
              <w:rPr>
                <w:rFonts w:ascii="仿宋_GB2312" w:hAnsi="仿宋_GB2312" w:cs="仿宋_GB2312" w:eastAsia="仿宋_GB2312"/>
                <w:sz w:val="21"/>
              </w:rPr>
              <w:t>2.1#面粉（核心产品）</w:t>
            </w:r>
          </w:p>
          <w:tbl>
            <w:tblPr>
              <w:tblInd w:type="dxa" w:w="120"/>
              <w:tblBorders>
                <w:top w:val="none" w:color="000000" w:sz="4"/>
                <w:left w:val="none" w:color="000000" w:sz="4"/>
                <w:bottom w:val="none" w:color="000000" w:sz="4"/>
                <w:right w:val="none" w:color="000000" w:sz="4"/>
                <w:insideH w:val="none"/>
                <w:insideV w:val="none"/>
              </w:tblBorders>
            </w:tblPr>
            <w:tblGrid>
              <w:gridCol w:w="239"/>
              <w:gridCol w:w="289"/>
              <w:gridCol w:w="384"/>
              <w:gridCol w:w="1641"/>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w:t>
                  </w: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▲1.小麦面粉</w:t>
                  </w:r>
                  <w:r>
                    <w:rPr>
                      <w:rFonts w:ascii="仿宋_GB2312" w:hAnsi="仿宋_GB2312" w:cs="仿宋_GB2312" w:eastAsia="仿宋_GB2312"/>
                      <w:sz w:val="20"/>
                    </w:rPr>
                    <w:t>，</w:t>
                  </w:r>
                  <w:r>
                    <w:rPr>
                      <w:rFonts w:ascii="仿宋_GB2312" w:hAnsi="仿宋_GB2312" w:cs="仿宋_GB2312" w:eastAsia="仿宋_GB2312"/>
                      <w:sz w:val="21"/>
                    </w:rPr>
                    <w:t>精制粉（须提供拟投袋装面粉的正面及重要信息彩色图片，重要信息指外包装上的名称、品牌、规格、生产日期等内容，重要信息完整、清晰可辩，否则后果自负）</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质量要求：①色泽：白色至微黄色，色泽均匀，无明显杂质；②外观：呈粉状，无粗粒感，无生虫，无结块/挂丝，无异物；③气味：具有小麦香味，无异味、无霉味、酸味；④成分：非转基因。蛋白质、水分含量符合标准要求；</w:t>
                  </w:r>
                  <w:r>
                    <w:rPr>
                      <w:rFonts w:ascii="仿宋_GB2312" w:hAnsi="仿宋_GB2312" w:cs="仿宋_GB2312" w:eastAsia="仿宋_GB2312"/>
                      <w:sz w:val="21"/>
                    </w:rPr>
                    <w:t>⑤</w:t>
                  </w:r>
                  <w:r>
                    <w:rPr>
                      <w:rFonts w:ascii="仿宋_GB2312" w:hAnsi="仿宋_GB2312" w:cs="仿宋_GB2312" w:eastAsia="仿宋_GB2312"/>
                      <w:sz w:val="21"/>
                    </w:rPr>
                    <w:t>感观、理化、安全等各项指标合格，符合标准要求，无违禁成分。</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▲3.包装规格：25公斤/袋</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4.包装：独立包装，便于运输、储存，外包装必须符合《粮食销售包装》要求,包装袋清洁无污渍、无破损、无渗漏；</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5.标签标识：标签标识清晰，内容完整，符合行业标准及规范要求；</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6.质量标准：GB/T 1355-2021及国家、行业相关标准。供应商提供的检测报告依据标准须符合本项目质量标准及国家相关强制性标准要求，满足采购要求；</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7.保证所供货物满足国家强制标准要求。供货时，剩余保质期不少于标注保质期三分之二，随货提供当批次合格证、批次检测报告等；</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8.保证货物来源渠道正规，商家信誉良好，未发生过重大安全事件，杜绝假冒伪劣产品。</w:t>
                  </w:r>
                </w:p>
              </w:tc>
            </w:tr>
          </w:tbl>
          <w:p>
            <w:pPr>
              <w:pStyle w:val="null3"/>
              <w:jc w:val="both"/>
            </w:pPr>
            <w:r>
              <w:rPr>
                <w:rFonts w:ascii="仿宋_GB2312" w:hAnsi="仿宋_GB2312" w:cs="仿宋_GB2312" w:eastAsia="仿宋_GB2312"/>
                <w:sz w:val="21"/>
              </w:rPr>
              <w:t>2.2食用油</w:t>
            </w:r>
          </w:p>
          <w:tbl>
            <w:tblPr>
              <w:tblInd w:type="dxa" w:w="120"/>
              <w:tblBorders>
                <w:top w:val="none" w:color="000000" w:sz="4"/>
                <w:left w:val="none" w:color="000000" w:sz="4"/>
                <w:bottom w:val="none" w:color="000000" w:sz="4"/>
                <w:right w:val="none" w:color="000000" w:sz="4"/>
                <w:insideH w:val="none"/>
                <w:insideV w:val="none"/>
              </w:tblBorders>
            </w:tblPr>
            <w:tblGrid>
              <w:gridCol w:w="239"/>
              <w:gridCol w:w="289"/>
              <w:gridCol w:w="378"/>
              <w:gridCol w:w="1646"/>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食用油</w:t>
                  </w: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重要</w:t>
                  </w: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▲9.菜籽油</w:t>
                  </w:r>
                  <w:r>
                    <w:rPr>
                      <w:rFonts w:ascii="仿宋_GB2312" w:hAnsi="仿宋_GB2312" w:cs="仿宋_GB2312" w:eastAsia="仿宋_GB2312"/>
                      <w:sz w:val="21"/>
                    </w:rPr>
                    <w:t>（须提供拟投桶装油的正面及重要信息彩色图片，重要信息指外包装上的名称、品牌、规格、生产日期等内容，重要信息完整、清晰可辩，否则后果自负）；</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质量要求：①等级：二级或以上；加工工艺先进，纯度质量好，健康营养；②色泽、透明度：清亮透明，无雾状、无悬浮物、无杂质；③气味：淡淡的菜籽香味，无异味、无刺鼻怪味；④滋味：无明显沉淀，口感滑润，食用纯香，无苦涩或其他不良味道；⑤成分：非转基因。营养成分含量高。⑥感观、理化、安全等各项指标合格，符合标准要求；无违禁成分；</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▲11.包装规格：5升/桶；</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一般</w:t>
                  </w: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12.包装要求：独立包装，包装桶清洁透明、无污渍，无破损、无渗漏，符合国家现行食品卫生标准的规定；</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13.标签标识：标签标识清晰，内容完整，符合行业标准及规范要求；</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14.质量标准：GB/T 1536-2021及国家、行业相关标准。供应商提供的检测报告依据标准须符合本项目质量标准及国家相关强制性标准要求，满足采购要求；</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15.保证所供货物满足国家强制标准要求，供货时，剩余保质期不少于标注保质期三分之二，提供合格证、批次检测报告等；</w:t>
                  </w:r>
                </w:p>
              </w:tc>
            </w:tr>
            <w:tr>
              <w:tc>
                <w:tcPr>
                  <w:tcW w:type="dxa" w:w="239"/>
                  <w:vMerge/>
                  <w:tcBorders>
                    <w:top w:val="none" w:color="000000" w:sz="4"/>
                    <w:left w:val="single" w:color="000000" w:sz="4"/>
                    <w:bottom w:val="single" w:color="000000" w:sz="4"/>
                    <w:right w:val="single" w:color="000000" w:sz="4"/>
                  </w:tcBorders>
                </w:tcPr>
                <w:p/>
              </w:tc>
              <w:tc>
                <w:tcPr>
                  <w:tcW w:type="dxa" w:w="289"/>
                  <w:vMerge/>
                  <w:tcBorders>
                    <w:top w:val="none" w:color="000000" w:sz="4"/>
                    <w:left w:val="single" w:color="000000" w:sz="4"/>
                    <w:bottom w:val="single" w:color="000000" w:sz="4"/>
                    <w:right w:val="single" w:color="000000" w:sz="4"/>
                  </w:tcBorders>
                </w:tcPr>
                <w:p/>
              </w:tc>
              <w:tc>
                <w:tcPr>
                  <w:tcW w:type="dxa" w:w="378"/>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16.保证货物来源渠道正规，商家信誉良好，未发过重大安全事件，杜绝假冒伪劣产品。</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自合同签订之日起5日内所有货物配送到位。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自合同签订之日起5日内所有货物配送到位。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澄城县各个乡镇，并按照采购人要求在指定地点卸车摆放整齐。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澄城县各个乡镇，并按照采购人要求在指定地点卸车摆放整齐。</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合同签订后，所有货物配送到位，双方无任何异议</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合同签订后，所有货物配送到位，双方无任何异议</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验收分为初验收和终验收。初验收为货到现场验收；终验收为项目履约结束后的履约验收。本款为初验收相关要求： 1、验收标准：按照招标要求及投标响应即采购合同进行验收，满足国家强制性规定及相关标准、规范要求。 2、验收方法：货物到达采购人指定地点后，由采购方质检人员直接进行外观、数量、标识等验收及文件资料（如质量合格证、出厂检验报告、原产地证明等）的核对。 3、验收内容（不仅限）：对供应商交付的货物品种、品牌、厂家、产地、规格、数量、生产日期、质保期等进行初验收，检查货物内外包装及标识是否完好、清晰、规范，有无破损、变形、潮湿、霉变等情况；检查货物本身有无划痕、损伤等外观缺陷；品牌规格是否与合同约定一致；文件资料是否齐全、有效，是否与合同及装箱单一致。如有样品，样品作为验收参考。 4、详细记录验收情况、发现问题，并由双方签字确认。 5、退换货： 5.1验收不合格货物，均由中标单位负责无条件退换，并承担由此发生的一切费用。 5.2无论何时，若发现货物存在翻新、参数虚标、虚假响应、贴牌、以次充好、恶意竞标等欺诈行为，除退货外，供应商须按合同金额的50%向采购方支付违约金，严重者上报监管部门，取消其合同履约资格，列入采购黑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验收分为初验收和终验收。初验收为货到现场验收；终验收为项目履约结束后的履约验收。本款为初验收相关要求： 1、验收标准：按照招标要求及投标响应即采购合同进行验收，满足国家强制性规定及相关标准、规范要求。 2、验收方法：货物到达采购人指定地点后，由采购方质检人员直接进行外观、数量、标识等验收及文件资料（如质量合格证、出厂检验报告、原产地证明等）的核对。 3、验收内容（不仅限）：对供应商交付的货物品种、品牌、厂家、产地、规格、数量、生产日期、质保期等进行初验收，检查货物内外包装及标识是否完好、清晰、规范，有无破损、变形、潮湿、霉变等情况；检查货物本身有无划痕、损伤等外观缺陷；品牌规格是否与合同约定一致；文件资料是否齐全、有效，是否与合同及装箱单一致。如有样品，样品作为验收参考。 4、详细记录验收情况、发现问题，并由双方签字确认。 5、退换货： 5.1验收不合格货物，均由中标单位负责无条件退换，并承担由此发生的一切费用。 5.2无论何时，若发现货物存在翻新、参数虚标、虚假响应、贴牌、以次充好、恶意竞标等欺诈行为，除退货外，供应商须按合同金额的50%向采购方支付违约金，严重者上报监管部门，取消其合同履约资格，列入采购黑名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产品特性选择合适规范的包装，满足国家对投标产品包装的相关标准要求，确保运输过程货物的完整无损无污染，涉及快递包装，应符合财办库〔2020〕123号文《快递包装政府采购需求标准（试行）》的要求，包装应适应于远距离运输、防潮、防震、防锈和防野蛮装卸等，以确保货物安全无损运抵指定地点。 2.包装、标识：符合《食品安全国家标准 预包装食品标签通则》标准要求，标识清晰合规，符合国标或行标要求。包含：产品名称、商标、执行标准、生产许可证、厂家信息、生产日期、质保期限等关键信息。 3.供应商需安排专业有证照且具备运输投标产品条件的车辆、人员进行运输，及时供货，确保运输途中的安全。装卸费、码放费、送货费用及运输安全等费用由中标人自行承担；因运输装卸过程中造成的损耗（例如包装严重变形、破损，食品污损、腐败变质等），须无条件更换，并承诺不附加任何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根据产品特性选择合适规范的包装，满足国家对投标产品包装的相关标准要求，确保运输过程货物的完整无损无污染，涉及快递包装，应符合财办库〔2020〕123号文《快递包装政府采购需求标准（试行）》的要求，包装应适应于远距离运输、防潮、防震、防锈和防野蛮装卸等，以确保货物安全无损运抵指定地点。 2.包装、标识：符合《食品安全国家标准 预包装食品标签通则》标准要求，标识清晰合规，符合国标或行标要求。包含：产品名称、商标、执行标准、生产许可证、厂家信息、生产日期、质保期限等关键信息。 3.供应商需安排专业有证照且具备运输投标产品条件的车辆、人员进行运输，及时供货，确保运输途中的安全。装卸费、码放费、送货费用及运输安全等费用由中标人自行承担；因运输装卸过程中造成的损耗（例如包装严重变形、破损，食品污损、腐败变质等），须无条件更换，并承诺不附加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①正常储存条件下，产品在质保期内质量、品质、包装等发生变化；②无论何时，产品有弄虚作假、信息造假、以次充好、偷工减料指标不达标等，导致质量不符合国家/行业标准或招标要求、不能使用、品质变差等一切不良后果，均由供应商免费退换，并承担一切责任。 2.质保期：自项目验收合格之日起两个月（质保期内若有质量问题，2日内维修或更换到位）。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量保修范围：①正常储存条件下，产品在质保期内质量、品质、包装等发生变化；②无论何时，产品有弄虚作假、信息造假、以次充好、偷工减料指标不达标等，导致质量不符合国家/行业标准或招标要求、不能食用、品质变差、食用后出现安全事故等一切不良后果，均由供应商免费退换，并承担一切责任。 2.质保期：遵循该产品有效期，交货时，产品剩余质保期不能少于2/3（质保期内若有质量问题，2日内更换到位）。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招标文件、投标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从逾期之日起每日按本合同总价0.3%的数额向甲方支付违约金；逾期半个月以上的，甲方有权解除合同，已支付的费用乙方应如数退回，且不再支付费用，由此造成的甲方经济损失由乙方承担。 3、乙方工作人员在履行合同过程中发生的人身伤亡等，与甲方无关，由乙方自行承担。 4、乙方在履行合同过程中产生的民事、行政及刑事责任，与甲方无关，由乙方自行承担。 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1、乙方提供的货物不符合招标文件、投标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从逾期之日起每日按本合同总价0.3%的数额向甲方支付违约金；逾期半个月以上的，甲方有权解除合同，已支付的费用乙方应如数退回，且不再支付费用，由此造成的甲方经济损失由乙方承担。 3、乙方工作人员在履行合同过程中发生的人身伤亡等，与甲方无关，由乙方自行承担。 4、乙方在履行合同过程中产生的民事、行政及刑事责任，与甲方无关，由乙方自行承担。 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（一）实施要求：依据标准见3.3技术要求。 （二）总体要求：1.准确深刻理解项目实施的目标和必要性，分析掌握实施的关键节点。2.选择正规且信誉度高的生产厂家，产品来源合法、质量优良、技术优势明确，佐证全面。3.生产或提供的产品、服务应符合国家的强制性规定，符合国家、行业的现行质量标准和行业规范，满足招标要求。 4.配置专业团队，经验丰富，分工明确，保证供货及时，满足合同进度要求。 5.具备完成项目所需的工具设施，措施完整，保证所供货物的完好无损。6.对于不符合质量要求的货物，制定切实可行的退、换货方案，保证项目质量。7.制定科学的供货进度计划及合理的组织协调方案，确保正常履约，按时完成工作任务，满足采购人需求。8.制定详细合理的配送计划及其安全预防方案，服务周到细致。9.供应商拟提供的货物须是成熟的、市场供应充足且具足够连续性的、能保证正常履约的。10.中标后中标人不能以任何非正当理由对投标响应做实质性的修改（如更换品牌、变更价格、减少数量以及服务内容和标准等），导致采购人与中标人之间权利义务发生重大变化，否则甲方有权单方面取消合同，造成的一切损失和法律后果均由中标人承担。11.为确保履约顺利和项目质量，中标后签订合同前，采购人可要求对中标人的投标佐证文件原件进行核查等，若中标人在规定时间内拒不配合，导致项目无法按期推进，损害了采购方的权益，视为中标人不按招标要求和投标响应执行，构成违约或违反招标文件要求，属于不履行其对招标要约承诺的义务，违反了诚实信用原则，采购人可取消其中标资格，也可视为其自行放弃中标资格。 （三）应急预案：针对履约过程中可能出现的紧急事故、重大问题制定可行的解决方案。 （四）售后服务：1.对售后服务的人员、范围内容及响应时间提供可行方案；2.提供保证货源充足的承诺。 （五）人员：配置经验丰富的主管、采购配送、售后团队，分工明确，保证供货及时，满足合同进度要求。 （六）退换保障：提供退换货相关承诺。 （七）其他招标要求及投标须知见附件补充说明。 （八）样品要求 1.样品制作要求：按招标要求进行生产/制作/采购。 2.样品种类及数量：样品应为拟投产品 采购包1：棉衣1件，棉被1张（须含自有包装和招标要求的外包装）。 采购包2：面粉（25公斤/袋）1袋，食用油（5L/桶）1桶（须含自有包装）。 3.密封要求：样品须密封递交，在密封包装外标注供应商名称。 4.提交截止时间：投标截止时间前提交，逾期拒收。 5.提交地点：西安市沣惠路南段艺腾国际商务大厦十楼中招第1会议室。 6.提交人要求：持供应商法定代表人授权书及本人身份证明。 7.退还、封存：中标人确定后两日内，未中标人的样品自行联系代理机构取回，逾期视为由代理机构自行处理，代理机构不对未中标人的样品承担任何责任。中标人的样品，将由采购人保管、封存，作为履约参考。 （九）其他要求 1.评标小组：（1）依法从省财政厅专家库中随机抽取相关专业的专家4名，与1名采购人代表组成5人评标小组。（2）评标小组推荐一名专家担任组长，负责项目评审工作。 2.按投标人综合得分从高到低进行排序，确定3名中标候选人。投标文件满足招标文件全部实质性要求，且按照评审因素的量化指标评审得分最高的投标人为排名第一的中标候选人。综合得分相同的，按投标报价由低到高顺序排列；得分且投标报价相同的，按投标人提供的优先采购产品认证证书数量由多到少顺序排列；得分且投标报价且提供的优先采购产品认证证书数量相同的并列，最终由采购人综合评定后确定。 3.线上文件编制、提交：供应商以中文编制文件（外文应附中文资料，否则不利后果自负，中外文出现差异和矛盾时，以中文为准）。供应商应提前做好并准备投标产品的成本核算及其有效佐证，以备评审时使用，否则自行承担不利后果。编制投标文件时应首先按招标文件给定的目录、顺序、内容及格式等进行编制、提交，其次可根据投标响应情况，在招标文件给定的目录下增设多级子目录或其他新目录，内容对应准确，页码清晰。 4.线下纸质文件备案：中标供应商确定后3个工作日内，中标供应商应提供纸质投标文件（资质、商务、技术编制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提供2025年任意一个月的财务报表（至少包含资产负债表、利润表、现金流量表）或供应商开户行针对本项目开具的资信证明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 资信证明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tc>
        <w:tc>
          <w:tcPr>
            <w:tcW w:type="dxa" w:w="1661"/>
          </w:tcPr>
          <w:p>
            <w:pPr>
              <w:pStyle w:val="null3"/>
            </w:pPr>
            <w:r>
              <w:rPr>
                <w:rFonts w:ascii="仿宋_GB2312" w:hAnsi="仿宋_GB2312" w:cs="仿宋_GB2312" w:eastAsia="仿宋_GB2312"/>
              </w:rPr>
              <w:t>供应商信用截图</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无重大违法违规行为声明</w:t>
            </w:r>
          </w:p>
        </w:tc>
        <w:tc>
          <w:tcPr>
            <w:tcW w:type="dxa" w:w="3322"/>
          </w:tcPr>
          <w:p>
            <w:pPr>
              <w:pStyle w:val="null3"/>
            </w:pPr>
            <w:r>
              <w:rPr>
                <w:rFonts w:ascii="仿宋_GB2312" w:hAnsi="仿宋_GB2312" w:cs="仿宋_GB2312" w:eastAsia="仿宋_GB2312"/>
              </w:rPr>
              <w:t>供应商在参加本采购活动前三年内（2023年1月至投标截止时间止）在经营活动中无重大违法违规等记录的书面声明</w:t>
            </w:r>
          </w:p>
        </w:tc>
        <w:tc>
          <w:tcPr>
            <w:tcW w:type="dxa" w:w="1661"/>
          </w:tcPr>
          <w:p>
            <w:pPr>
              <w:pStyle w:val="null3"/>
            </w:pPr>
            <w:r>
              <w:rPr>
                <w:rFonts w:ascii="仿宋_GB2312" w:hAnsi="仿宋_GB2312" w:cs="仿宋_GB2312" w:eastAsia="仿宋_GB2312"/>
              </w:rPr>
              <w:t>无重大违法违规等记录的声明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禁止投标</w:t>
            </w:r>
          </w:p>
        </w:tc>
        <w:tc>
          <w:tcPr>
            <w:tcW w:type="dxa" w:w="3322"/>
          </w:tcPr>
          <w:p>
            <w:pPr>
              <w:pStyle w:val="null3"/>
            </w:pPr>
            <w:r>
              <w:rPr>
                <w:rFonts w:ascii="仿宋_GB2312" w:hAnsi="仿宋_GB2312" w:cs="仿宋_GB2312" w:eastAsia="仿宋_GB2312"/>
              </w:rPr>
              <w:t>①法定代表人或负责人为同一人或存在直接控股、管理关系的不同单位，不得同时参加本项目同一标段投标；②与采购人存在利害关系的单位不得参加本项目投标；③法律法规规定的其他禁止投标情形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关联关系声明 禁止投标情形承诺书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非联合体投标声明</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提供2025年任意一个月的财务报表（至少包含资产负债表、利润表、现金流量表）或供应商开户行针对本项目开具的资信证明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 资信证明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供应商为生产厂家的须提供《食品生产许可证》；为经销商的须提供《食品经营许可证》或食品经营备案证明及生产厂家的《食品生产许可证》</w:t>
            </w:r>
          </w:p>
        </w:tc>
        <w:tc>
          <w:tcPr>
            <w:tcW w:type="dxa" w:w="1661"/>
          </w:tcPr>
          <w:p>
            <w:pPr>
              <w:pStyle w:val="null3"/>
            </w:pPr>
            <w:r>
              <w:rPr>
                <w:rFonts w:ascii="仿宋_GB2312" w:hAnsi="仿宋_GB2312" w:cs="仿宋_GB2312" w:eastAsia="仿宋_GB2312"/>
              </w:rPr>
              <w:t>食品生产许可证 食品经营许可证 食品经营备案证明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tc>
        <w:tc>
          <w:tcPr>
            <w:tcW w:type="dxa" w:w="1661"/>
          </w:tcPr>
          <w:p>
            <w:pPr>
              <w:pStyle w:val="null3"/>
            </w:pPr>
            <w:r>
              <w:rPr>
                <w:rFonts w:ascii="仿宋_GB2312" w:hAnsi="仿宋_GB2312" w:cs="仿宋_GB2312" w:eastAsia="仿宋_GB2312"/>
              </w:rPr>
              <w:t>供应商信用截图</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无重大违法违规行为声明</w:t>
            </w:r>
          </w:p>
        </w:tc>
        <w:tc>
          <w:tcPr>
            <w:tcW w:type="dxa" w:w="3322"/>
          </w:tcPr>
          <w:p>
            <w:pPr>
              <w:pStyle w:val="null3"/>
            </w:pPr>
            <w:r>
              <w:rPr>
                <w:rFonts w:ascii="仿宋_GB2312" w:hAnsi="仿宋_GB2312" w:cs="仿宋_GB2312" w:eastAsia="仿宋_GB2312"/>
              </w:rPr>
              <w:t>供应商在参加本采购活动前三年内（2023年1月至投标截止时间止）在经营活动中无重大违法违规等记录的书面声明</w:t>
            </w:r>
          </w:p>
        </w:tc>
        <w:tc>
          <w:tcPr>
            <w:tcW w:type="dxa" w:w="1661"/>
          </w:tcPr>
          <w:p>
            <w:pPr>
              <w:pStyle w:val="null3"/>
            </w:pPr>
            <w:r>
              <w:rPr>
                <w:rFonts w:ascii="仿宋_GB2312" w:hAnsi="仿宋_GB2312" w:cs="仿宋_GB2312" w:eastAsia="仿宋_GB2312"/>
              </w:rPr>
              <w:t>无重大违法违规等记录的声明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禁止投标</w:t>
            </w:r>
          </w:p>
        </w:tc>
        <w:tc>
          <w:tcPr>
            <w:tcW w:type="dxa" w:w="3322"/>
          </w:tcPr>
          <w:p>
            <w:pPr>
              <w:pStyle w:val="null3"/>
            </w:pPr>
            <w:r>
              <w:rPr>
                <w:rFonts w:ascii="仿宋_GB2312" w:hAnsi="仿宋_GB2312" w:cs="仿宋_GB2312" w:eastAsia="仿宋_GB2312"/>
              </w:rPr>
              <w:t>①法定代表人或负责人为同一人或存在直接控股、管理关系的不同单位，不得同时参加本项目同一标段投标；②与采购人存在利害关系的单位不得参加本项目投标；③法律法规规定的其他禁止投标情形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关联关系声明 禁止投标情形承诺书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非联合体投标声明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产品品牌</w:t>
            </w:r>
          </w:p>
        </w:tc>
        <w:tc>
          <w:tcPr>
            <w:tcW w:type="dxa" w:w="3322"/>
          </w:tcPr>
          <w:p>
            <w:pPr>
              <w:pStyle w:val="null3"/>
            </w:pPr>
            <w:r>
              <w:rPr>
                <w:rFonts w:ascii="仿宋_GB2312" w:hAnsi="仿宋_GB2312" w:cs="仿宋_GB2312" w:eastAsia="仿宋_GB2312"/>
              </w:rPr>
              <w:t>不同投标人提供核心产品品牌（棉衣）满足三家及以上</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唯一且未超过本标段最高限价，报价范围完整</w:t>
            </w:r>
          </w:p>
        </w:tc>
        <w:tc>
          <w:tcPr>
            <w:tcW w:type="dxa" w:w="1661"/>
          </w:tcPr>
          <w:p>
            <w:pPr>
              <w:pStyle w:val="null3"/>
            </w:pPr>
            <w:r>
              <w:rPr>
                <w:rFonts w:ascii="仿宋_GB2312" w:hAnsi="仿宋_GB2312" w:cs="仿宋_GB2312" w:eastAsia="仿宋_GB2312"/>
              </w:rPr>
              <w:t>开标一览表 分项报价表 报价确认表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实质性响应合同条款要求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②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③如采用投标人所不拥有的知识产权，则在投标报价中必须包括合法使用该知识产权的相关费用。</w:t>
            </w:r>
          </w:p>
        </w:tc>
        <w:tc>
          <w:tcPr>
            <w:tcW w:type="dxa" w:w="1661"/>
          </w:tcPr>
          <w:p>
            <w:pPr>
              <w:pStyle w:val="null3"/>
            </w:pPr>
            <w:r>
              <w:rPr>
                <w:rFonts w:ascii="仿宋_GB2312" w:hAnsi="仿宋_GB2312" w:cs="仿宋_GB2312" w:eastAsia="仿宋_GB2312"/>
              </w:rPr>
              <w:t>商务响应（偏离）表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产品品牌</w:t>
            </w:r>
          </w:p>
        </w:tc>
        <w:tc>
          <w:tcPr>
            <w:tcW w:type="dxa" w:w="3322"/>
          </w:tcPr>
          <w:p>
            <w:pPr>
              <w:pStyle w:val="null3"/>
            </w:pPr>
            <w:r>
              <w:rPr>
                <w:rFonts w:ascii="仿宋_GB2312" w:hAnsi="仿宋_GB2312" w:cs="仿宋_GB2312" w:eastAsia="仿宋_GB2312"/>
              </w:rPr>
              <w:t>不同投标人提供核心产品品牌（面粉）满足三家及以上</w:t>
            </w:r>
          </w:p>
        </w:tc>
        <w:tc>
          <w:tcPr>
            <w:tcW w:type="dxa" w:w="1661"/>
          </w:tcPr>
          <w:p>
            <w:pPr>
              <w:pStyle w:val="null3"/>
            </w:pPr>
            <w:r>
              <w:rPr>
                <w:rFonts w:ascii="仿宋_GB2312" w:hAnsi="仿宋_GB2312" w:cs="仿宋_GB2312" w:eastAsia="仿宋_GB2312"/>
              </w:rPr>
              <w:t>分项报价表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唯一且未超过本标段最高限价，报价范围完整</w:t>
            </w:r>
          </w:p>
        </w:tc>
        <w:tc>
          <w:tcPr>
            <w:tcW w:type="dxa" w:w="1661"/>
          </w:tcPr>
          <w:p>
            <w:pPr>
              <w:pStyle w:val="null3"/>
            </w:pPr>
            <w:r>
              <w:rPr>
                <w:rFonts w:ascii="仿宋_GB2312" w:hAnsi="仿宋_GB2312" w:cs="仿宋_GB2312" w:eastAsia="仿宋_GB2312"/>
              </w:rPr>
              <w:t>开标一览表 分项报价表 报价确认表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实质性响应合同条款要求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②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③如采用投标人所不拥有的知识产权，则在投标报价中必须包括合法使用该知识产权的相关费用。</w:t>
            </w:r>
          </w:p>
        </w:tc>
        <w:tc>
          <w:tcPr>
            <w:tcW w:type="dxa" w:w="1661"/>
          </w:tcPr>
          <w:p>
            <w:pPr>
              <w:pStyle w:val="null3"/>
            </w:pPr>
            <w:r>
              <w:rPr>
                <w:rFonts w:ascii="仿宋_GB2312" w:hAnsi="仿宋_GB2312" w:cs="仿宋_GB2312" w:eastAsia="仿宋_GB2312"/>
              </w:rPr>
              <w:t>商务响应（偏离）表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1.“▲”参数（10项）：须提供有效的CMA检测报告及拟投产品彩色图片进行印证，完全符合招标要求得20分，一项不符合扣2分，20分扣完为止。 说明：供应商需在检测报告上用醒目符号标注出对应指标参数，否则导致的不利后果自负。 2.一般参数（20项）：根据技术响应偏离表，全部响应要求得4分，一项负偏离扣0.2分，4分扣完为止。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w:t>
            </w:r>
          </w:p>
          <w:p>
            <w:pPr>
              <w:pStyle w:val="null3"/>
            </w:pPr>
            <w:r>
              <w:rPr>
                <w:rFonts w:ascii="仿宋_GB2312" w:hAnsi="仿宋_GB2312" w:cs="仿宋_GB2312" w:eastAsia="仿宋_GB2312"/>
              </w:rPr>
              <w:t>检测报告</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提供原厂授权（厂家投标提供声明），一种产品得0.5分，共1分。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原厂授权</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①项目实施目标及必要性分析②提出项目实施的关键节点③保证供货进度的措施 ④组织协调方案 2.赋分规则： ①-④项每项最高得1.5分，每项有1个缺陷扣0.5分。缺陷是指：主题不明确；方案内容与主题针对性不强；落地有效性不显著。</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1.评审内容： ①配送计划（配送工具、货物管理等） ②配送安全预防 2.赋分规则： ①-②项每项最高得2分，每项有1个缺陷扣0.5分。缺陷是指：主题不明确；方案内容与主题针对性不强；与本项目不匹配；落地有效性不显著。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 ①履约过程可能出现的紧急事故及对应的解决方案②重大问题及对应的解决方案。 2.赋分规则： ①-②项每项最高得2分，每项有1个缺陷扣0.5分。缺陷是指：主题不明确；方案内容与主题针对性不强；与本项目不匹配；落地有效性不显著。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①对交货、售后退换货的响应、到场、问题解决时间的承诺及应对措施方案②售后服务范围和内容③回访及质量跟踪计划④保证货源充足、连续供应的承诺及措施方案 2.赋分规则： ①-④项每项最高得1.5分，每项有1个缺陷扣0.5分。缺陷是指：主题不明确；方案内容与主题针对性不强；落地有效性不明确。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1.评审内容： 提供完成本项目履约的岗位人员配备：不仅限负责人、采购配送、售后服务等人员（人员不重复，提供人员身份证明）。 2.赋分规则： 岗位及人员信息齐全得3分，少一岗扣1分，3分扣完为止。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优先采购</w:t>
            </w:r>
          </w:p>
        </w:tc>
        <w:tc>
          <w:tcPr>
            <w:tcW w:type="dxa" w:w="2492"/>
          </w:tcPr>
          <w:p>
            <w:pPr>
              <w:pStyle w:val="null3"/>
            </w:pPr>
            <w:r>
              <w:rPr>
                <w:rFonts w:ascii="仿宋_GB2312" w:hAnsi="仿宋_GB2312" w:cs="仿宋_GB2312" w:eastAsia="仿宋_GB2312"/>
              </w:rPr>
              <w:t>提供“棉衣”、“棉被”的环境标志认证证书，1份得0.5分，最高得1分，未提供得0分。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环境标志认证证书</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1.棉被1张（10分）：对面料、棉胎、做工、规格/重量等四项进行评审。 评分规则：全部符合要求得10分，缺陷进行扣分处理（有一项即扣分）：面料材质不满足扣1分；棉胎扣5分（有明显异物/杂质、有刺鼻异味、回弹性差各扣1分、网纱与棉胎结合度差扣2分）；被子规格/重量不符扣1分；做工针脚稀松/线头多影响美观/不平整扣2分；标志布及检验单不全扣1分。无样品或样品与技术响应表中拟投产品图片不一致不得分。 2.棉衣1件（10分），对面料、颜色、款式、做工、标签（成份、洗涤方式）等五项进行评审。 评分规则：全部符合要求得10分；缺陷进行扣分处理（有一项即扣分）：面里料颜色/材质不满足扣1分；款式有一项不符扣3分；填充物扣2分（材质不符、有异物异味各扣1分）；做工针脚稀松/线头多/有污物/裁剪不规范扣2分；熨烫不平整扣1分；无标签或标签内容不完整扣1分。无样品或样品与技术响应表中拟投产品图片不一致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提供供应商2023年至今同类或类似业绩证明，1份得0.5分，最高1分，未提供或不符合要求得0分。时间以业绩证明落款时间为准。要求：须包含合同品目清单、双方签字盖章页等。若无法辨别，则不计分。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1）评标基准价：即最低（投标单价）投标报价＝评标基准价；低价优先法。 2）投标单价得分=评标基准价/投标单价×30。投标单价=评标基准价，其价格得分为30分；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1.“▲”参数（6项）：以拟投产品批次的检测报告及拟投产品彩色图片进行印证，完全符合招标要求得18分，一项不符合扣3分，18分扣完为止。 说明：①检测报告为第三方CMA检测报告或生产厂家出厂检测报告，非本批次检测报告，视为无效；②供应商需在佐证材料上用醒目符号标注出对应参数指标，否则导致的不利后果自负。 2.一般参数（10项）：根据技术响应偏离表，全部响应符合要求得6分，一项负偏离扣0.6分，6分扣完为止。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检测报告</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提供原厂授权（厂家投标提供声明），一种产品得0.5分，共1分。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原厂授权</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①项目实施目标及必要性分析②提出项目实施的关键节点③保证供货进度的措施 ④组织协调方案 2.赋分规则： ①-④项每项最高得1.5分，每项有1个缺陷扣0.5分。缺陷是指：主题不明确；方案内容与主题针对性不强；落地有效性不显著。</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1.评审内容： ①配送计划（配送工具、货物管理等） ②配送安全预防 2.赋分规则： ①-②项每项最高得2分，每项有1个缺陷扣0.5分。缺陷是指：主题不明确；方案内容与主题针对性不强；与本项目不匹配；落地有效性不显著。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1.评审内容： ①履约过程可能出现的紧急事故及对应的解决方案②重大问题及对应的解决方案。 2.赋分规则： ①-②项每项最高得2分，每项有1个缺陷扣0.5分。缺陷是指：主题不明确；方案内容与主题针对性不强；与本项目不匹配；落地有效性不显著。</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①对交货、售后退换货的响应、到场、问题解决时间的承诺及应对措施方案②售后服务范围和内容③回访及质量跟踪计划④保证货源充足、连续供应的承诺及措施方案 2.赋分规则： ①-④项每项最高得1.5分，每项有1个缺陷扣0.5分。缺陷是指：主题不明确；方案内容与主题针对性不强；落地有效性不明确。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1.评审内容： 提供完成本项目履约的岗位人员配备：不仅限负责人、采购配送、售后服务等人员（人员不重复，提供人员身份证明）。 2.赋分规则： 岗位及人员信息齐全得3分，少一岗扣1分，3分扣完。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1.面粉25公斤/袋（10分）：对规格精度、外观色泽、气味、结块、霉变、虫蛀、杂质、包装标识等项进行评审。 评分规则：全部符合要求得10分。有缺陷进行扣分：①规格精度不足；②有杂质、霉变、虫蛀；③色泽不自然、有结块、有异味；④包装标识不规范不完整；⑤剩余质保期小于三分之二等各扣2分。无样品或样品与技术响应表中拟投产品图片不一致不得分。 2.食用油5L /桶（10分）：对色泽、气味、外观状态、包装标识等四项进行评审。 评分规则：全部符合要求得10分；有缺陷进行扣分：①规格等级不足；②有杂质有异味；③色泽、透明度不自然；④包装标识不规范不完整；⑤剩余质保期小于三分之二等各扣2分。无样品或样品与技术响应表中拟投产品图片不一致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提供供应商2023年至今同类或类似业绩证明，1份得1分，最高2分，未提供或不符合要求得0分。时间以业绩证明落款时间为准。要求：须包含合同品目清单、双方签字盖章页等。若无法辨别，则不计分。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1）评标基准价：即最低（投标单价）投标报价＝评标基准价；低价优先法。 2）投标单价得分=评标基准价/投标单价×30。投标单价=评标基准价，其价格得分为30分；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详见附件：财务报表</w:t>
      </w:r>
    </w:p>
    <w:p>
      <w:pPr>
        <w:pStyle w:val="null3"/>
        <w:ind w:firstLine="960"/>
      </w:pPr>
      <w:r>
        <w:rPr>
          <w:rFonts w:ascii="仿宋_GB2312" w:hAnsi="仿宋_GB2312" w:cs="仿宋_GB2312" w:eastAsia="仿宋_GB2312"/>
        </w:rPr>
        <w:t>详见附件：资信证明</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详见附件：供应商信用截图</w:t>
      </w:r>
    </w:p>
    <w:p>
      <w:pPr>
        <w:pStyle w:val="null3"/>
        <w:ind w:firstLine="960"/>
      </w:pPr>
      <w:r>
        <w:rPr>
          <w:rFonts w:ascii="仿宋_GB2312" w:hAnsi="仿宋_GB2312" w:cs="仿宋_GB2312" w:eastAsia="仿宋_GB2312"/>
        </w:rPr>
        <w:t>详见附件：无重大违法违规等记录的声明</w:t>
      </w:r>
    </w:p>
    <w:p>
      <w:pPr>
        <w:pStyle w:val="null3"/>
        <w:ind w:firstLine="960"/>
      </w:pPr>
      <w:r>
        <w:rPr>
          <w:rFonts w:ascii="仿宋_GB2312" w:hAnsi="仿宋_GB2312" w:cs="仿宋_GB2312" w:eastAsia="仿宋_GB2312"/>
        </w:rPr>
        <w:t>详见附件：禁止投标情形承诺书</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详见附件：非联合体投标声明</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详见附件：报价确认表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w:t>
      </w:r>
    </w:p>
    <w:p>
      <w:pPr>
        <w:pStyle w:val="null3"/>
        <w:ind w:firstLine="960"/>
      </w:pPr>
      <w:r>
        <w:rPr>
          <w:rFonts w:ascii="仿宋_GB2312" w:hAnsi="仿宋_GB2312" w:cs="仿宋_GB2312" w:eastAsia="仿宋_GB2312"/>
        </w:rPr>
        <w:t>详见附件：检测报告</w:t>
      </w:r>
    </w:p>
    <w:p>
      <w:pPr>
        <w:pStyle w:val="null3"/>
        <w:ind w:firstLine="960"/>
      </w:pPr>
      <w:r>
        <w:rPr>
          <w:rFonts w:ascii="仿宋_GB2312" w:hAnsi="仿宋_GB2312" w:cs="仿宋_GB2312" w:eastAsia="仿宋_GB2312"/>
        </w:rPr>
        <w:t>详见附件：原厂授权</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详见附件：环境标志认证证书</w:t>
      </w:r>
    </w:p>
    <w:p>
      <w:pPr>
        <w:pStyle w:val="null3"/>
        <w:ind w:firstLine="960"/>
      </w:pPr>
      <w:r>
        <w:rPr>
          <w:rFonts w:ascii="仿宋_GB2312" w:hAnsi="仿宋_GB2312" w:cs="仿宋_GB2312" w:eastAsia="仿宋_GB2312"/>
        </w:rPr>
        <w:t>详见附件：样品</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w:t>
      </w:r>
    </w:p>
    <w:p>
      <w:pPr>
        <w:pStyle w:val="null3"/>
        <w:ind w:firstLine="960"/>
      </w:pPr>
      <w:r>
        <w:rPr>
          <w:rFonts w:ascii="仿宋_GB2312" w:hAnsi="仿宋_GB2312" w:cs="仿宋_GB2312" w:eastAsia="仿宋_GB2312"/>
        </w:rPr>
        <w:t>详见附件：营业执照</w:t>
      </w:r>
    </w:p>
    <w:p>
      <w:pPr>
        <w:pStyle w:val="null3"/>
        <w:ind w:firstLine="960"/>
      </w:pPr>
      <w:r>
        <w:rPr>
          <w:rFonts w:ascii="仿宋_GB2312" w:hAnsi="仿宋_GB2312" w:cs="仿宋_GB2312" w:eastAsia="仿宋_GB2312"/>
        </w:rPr>
        <w:t>详见附件：财务报表</w:t>
      </w:r>
    </w:p>
    <w:p>
      <w:pPr>
        <w:pStyle w:val="null3"/>
        <w:ind w:firstLine="960"/>
      </w:pPr>
      <w:r>
        <w:rPr>
          <w:rFonts w:ascii="仿宋_GB2312" w:hAnsi="仿宋_GB2312" w:cs="仿宋_GB2312" w:eastAsia="仿宋_GB2312"/>
        </w:rPr>
        <w:t>详见附件：资信证明</w:t>
      </w:r>
    </w:p>
    <w:p>
      <w:pPr>
        <w:pStyle w:val="null3"/>
        <w:ind w:firstLine="960"/>
      </w:pPr>
      <w:r>
        <w:rPr>
          <w:rFonts w:ascii="仿宋_GB2312" w:hAnsi="仿宋_GB2312" w:cs="仿宋_GB2312" w:eastAsia="仿宋_GB2312"/>
        </w:rPr>
        <w:t>详见附件：完税证明及社保缴纳凭证</w:t>
      </w:r>
    </w:p>
    <w:p>
      <w:pPr>
        <w:pStyle w:val="null3"/>
        <w:ind w:firstLine="960"/>
      </w:pPr>
      <w:r>
        <w:rPr>
          <w:rFonts w:ascii="仿宋_GB2312" w:hAnsi="仿宋_GB2312" w:cs="仿宋_GB2312" w:eastAsia="仿宋_GB2312"/>
        </w:rPr>
        <w:t>详见附件：食品生产许可证</w:t>
      </w:r>
    </w:p>
    <w:p>
      <w:pPr>
        <w:pStyle w:val="null3"/>
        <w:ind w:firstLine="960"/>
      </w:pPr>
      <w:r>
        <w:rPr>
          <w:rFonts w:ascii="仿宋_GB2312" w:hAnsi="仿宋_GB2312" w:cs="仿宋_GB2312" w:eastAsia="仿宋_GB2312"/>
        </w:rPr>
        <w:t>详见附件：食品经营许可证</w:t>
      </w:r>
    </w:p>
    <w:p>
      <w:pPr>
        <w:pStyle w:val="null3"/>
        <w:ind w:firstLine="960"/>
      </w:pPr>
      <w:r>
        <w:rPr>
          <w:rFonts w:ascii="仿宋_GB2312" w:hAnsi="仿宋_GB2312" w:cs="仿宋_GB2312" w:eastAsia="仿宋_GB2312"/>
        </w:rPr>
        <w:t>详见附件：食品经营备案证明</w:t>
      </w:r>
    </w:p>
    <w:p>
      <w:pPr>
        <w:pStyle w:val="null3"/>
        <w:ind w:firstLine="960"/>
      </w:pPr>
      <w:r>
        <w:rPr>
          <w:rFonts w:ascii="仿宋_GB2312" w:hAnsi="仿宋_GB2312" w:cs="仿宋_GB2312" w:eastAsia="仿宋_GB2312"/>
        </w:rPr>
        <w:t>详见附件：供应商信用截图</w:t>
      </w:r>
    </w:p>
    <w:p>
      <w:pPr>
        <w:pStyle w:val="null3"/>
        <w:ind w:firstLine="960"/>
      </w:pPr>
      <w:r>
        <w:rPr>
          <w:rFonts w:ascii="仿宋_GB2312" w:hAnsi="仿宋_GB2312" w:cs="仿宋_GB2312" w:eastAsia="仿宋_GB2312"/>
        </w:rPr>
        <w:t>详见附件：无重大违法违规等记录的声明</w:t>
      </w:r>
    </w:p>
    <w:p>
      <w:pPr>
        <w:pStyle w:val="null3"/>
        <w:ind w:firstLine="960"/>
      </w:pPr>
      <w:r>
        <w:rPr>
          <w:rFonts w:ascii="仿宋_GB2312" w:hAnsi="仿宋_GB2312" w:cs="仿宋_GB2312" w:eastAsia="仿宋_GB2312"/>
        </w:rPr>
        <w:t>详见附件：禁止投标情形承诺书</w:t>
      </w:r>
    </w:p>
    <w:p>
      <w:pPr>
        <w:pStyle w:val="null3"/>
        <w:ind w:firstLine="960"/>
      </w:pPr>
      <w:r>
        <w:rPr>
          <w:rFonts w:ascii="仿宋_GB2312" w:hAnsi="仿宋_GB2312" w:cs="仿宋_GB2312" w:eastAsia="仿宋_GB2312"/>
        </w:rPr>
        <w:t>详见附件：关联关系声明</w:t>
      </w:r>
    </w:p>
    <w:p>
      <w:pPr>
        <w:pStyle w:val="null3"/>
        <w:ind w:firstLine="960"/>
      </w:pPr>
      <w:r>
        <w:rPr>
          <w:rFonts w:ascii="仿宋_GB2312" w:hAnsi="仿宋_GB2312" w:cs="仿宋_GB2312" w:eastAsia="仿宋_GB2312"/>
        </w:rPr>
        <w:t>详见附件：非联合体投标声明</w:t>
      </w:r>
    </w:p>
    <w:p>
      <w:pPr>
        <w:pStyle w:val="null3"/>
        <w:ind w:firstLine="960"/>
      </w:pPr>
      <w:r>
        <w:rPr>
          <w:rFonts w:ascii="仿宋_GB2312" w:hAnsi="仿宋_GB2312" w:cs="仿宋_GB2312" w:eastAsia="仿宋_GB2312"/>
        </w:rPr>
        <w:t>详见附件：报价确认表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详见附件：检测报告</w:t>
      </w:r>
    </w:p>
    <w:p>
      <w:pPr>
        <w:pStyle w:val="null3"/>
        <w:ind w:firstLine="960"/>
      </w:pPr>
      <w:r>
        <w:rPr>
          <w:rFonts w:ascii="仿宋_GB2312" w:hAnsi="仿宋_GB2312" w:cs="仿宋_GB2312" w:eastAsia="仿宋_GB2312"/>
        </w:rPr>
        <w:t>详见附件：原厂授权</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详见附件：配送方案</w:t>
      </w:r>
    </w:p>
    <w:p>
      <w:pPr>
        <w:pStyle w:val="null3"/>
        <w:ind w:firstLine="960"/>
      </w:pPr>
      <w:r>
        <w:rPr>
          <w:rFonts w:ascii="仿宋_GB2312" w:hAnsi="仿宋_GB2312" w:cs="仿宋_GB2312" w:eastAsia="仿宋_GB2312"/>
        </w:rPr>
        <w:t>详见附件：应急方案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详见附件：样品</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