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7E59">
      <w:pPr>
        <w:pStyle w:val="9"/>
        <w:jc w:val="center"/>
        <w:outlineLvl w:val="1"/>
        <w:rPr>
          <w:rFonts w:hint="eastAsia" w:ascii="仿宋_GB2312" w:hAnsi="仿宋_GB2312" w:eastAsia="仿宋_GB2312" w:cs="仿宋_GB2312"/>
          <w:b/>
          <w:sz w:val="36"/>
          <w:lang w:val="en-US" w:eastAsia="zh-CN"/>
        </w:rPr>
      </w:pPr>
      <w:r>
        <w:rPr>
          <w:rFonts w:hint="eastAsia" w:ascii="仿宋_GB2312" w:hAnsi="仿宋_GB2312" w:eastAsia="仿宋_GB2312" w:cs="仿宋_GB2312"/>
          <w:b/>
          <w:sz w:val="36"/>
          <w:lang w:val="en-US" w:eastAsia="zh-CN"/>
        </w:rPr>
        <w:t>补充说明</w:t>
      </w:r>
      <w:bookmarkStart w:id="0" w:name="_GoBack"/>
      <w:bookmarkEnd w:id="0"/>
    </w:p>
    <w:tbl>
      <w:tblPr>
        <w:tblStyle w:val="7"/>
        <w:tblW w:w="9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589"/>
      </w:tblGrid>
      <w:tr w14:paraId="2418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0E70173C">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14:paraId="02A057B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589" w:type="dxa"/>
            <w:vAlign w:val="center"/>
          </w:tcPr>
          <w:p w14:paraId="4E4CA7B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14:paraId="0BE5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05E380C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val="en-US" w:eastAsia="zh-CN"/>
              </w:rPr>
              <w:t>1</w:t>
            </w:r>
          </w:p>
        </w:tc>
        <w:tc>
          <w:tcPr>
            <w:tcW w:w="1907" w:type="dxa"/>
            <w:shd w:val="clear" w:color="auto" w:fill="auto"/>
            <w:vAlign w:val="center"/>
          </w:tcPr>
          <w:p w14:paraId="41F0152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经营或资格变化</w:t>
            </w:r>
          </w:p>
        </w:tc>
        <w:tc>
          <w:tcPr>
            <w:tcW w:w="6589" w:type="dxa"/>
            <w:shd w:val="clear" w:color="auto" w:fill="auto"/>
            <w:vAlign w:val="center"/>
          </w:tcPr>
          <w:p w14:paraId="7B2DEBE9">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r>
              <w:rPr>
                <w:rFonts w:hint="eastAsia" w:ascii="仿宋" w:hAnsi="仿宋" w:eastAsia="仿宋" w:cs="仿宋"/>
                <w:color w:val="auto"/>
                <w:sz w:val="24"/>
                <w:szCs w:val="24"/>
                <w:lang w:val="en-US" w:eastAsia="zh-CN"/>
              </w:rPr>
              <w:t>重大变化导致</w:t>
            </w:r>
            <w:r>
              <w:rPr>
                <w:rFonts w:hint="eastAsia" w:ascii="仿宋" w:hAnsi="仿宋" w:eastAsia="仿宋" w:cs="仿宋"/>
                <w:color w:val="auto"/>
                <w:kern w:val="2"/>
                <w:sz w:val="24"/>
                <w:szCs w:val="24"/>
                <w:highlight w:val="none"/>
                <w:lang w:val="en-US" w:eastAsia="zh-CN" w:bidi="ar-SA"/>
              </w:rPr>
              <w:t>供应商</w:t>
            </w:r>
            <w:r>
              <w:rPr>
                <w:rFonts w:hint="eastAsia" w:ascii="仿宋" w:hAnsi="仿宋" w:eastAsia="仿宋" w:cs="仿宋"/>
                <w:color w:val="auto"/>
                <w:sz w:val="24"/>
                <w:szCs w:val="24"/>
                <w:lang w:val="en-US" w:eastAsia="zh-CN"/>
              </w:rPr>
              <w:t>或中标人不再符合采购要求或不能正常履约的，任何时候采购人均有权取消其投标或中标资格。</w:t>
            </w:r>
          </w:p>
          <w:p w14:paraId="58D1CAC5">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2）中标人须保证企业及中标产品的必备资质及相关证书的有效性、连续性。如履约期间资质或证书临界到期需更换，</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应提前及时续办，否则采购人有权随时取消其</w:t>
            </w:r>
            <w:r>
              <w:rPr>
                <w:rFonts w:hint="default" w:ascii="仿宋" w:hAnsi="仿宋" w:eastAsia="仿宋" w:cs="仿宋"/>
                <w:color w:val="auto"/>
                <w:sz w:val="24"/>
                <w:szCs w:val="24"/>
                <w:lang w:val="en-US" w:eastAsia="zh-CN"/>
              </w:rPr>
              <w:t>中标</w:t>
            </w:r>
            <w:r>
              <w:rPr>
                <w:rFonts w:hint="eastAsia" w:ascii="仿宋" w:hAnsi="仿宋" w:eastAsia="仿宋" w:cs="仿宋"/>
                <w:color w:val="auto"/>
                <w:kern w:val="2"/>
                <w:sz w:val="24"/>
                <w:szCs w:val="24"/>
                <w:highlight w:val="none"/>
                <w:lang w:val="en-US" w:eastAsia="zh-CN" w:bidi="ar-SA"/>
              </w:rPr>
              <w:t>或履约资格，由此造成的后果由</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自行承担。</w:t>
            </w:r>
          </w:p>
        </w:tc>
      </w:tr>
      <w:tr w14:paraId="390E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31263325">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shd w:val="clear" w:color="auto" w:fill="auto"/>
            <w:vAlign w:val="center"/>
          </w:tcPr>
          <w:p w14:paraId="5CE07E4A">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589" w:type="dxa"/>
            <w:shd w:val="clear" w:color="auto" w:fill="auto"/>
            <w:vAlign w:val="center"/>
          </w:tcPr>
          <w:p w14:paraId="6AADA4D8">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不组织</w:t>
            </w:r>
            <w:r>
              <w:rPr>
                <w:rFonts w:hint="eastAsia" w:ascii="仿宋" w:hAnsi="仿宋" w:eastAsia="仿宋" w:cs="仿宋"/>
                <w:color w:val="auto"/>
                <w:sz w:val="24"/>
                <w:szCs w:val="24"/>
                <w:lang w:eastAsia="zh-CN"/>
              </w:rPr>
              <w:t>。</w:t>
            </w:r>
          </w:p>
        </w:tc>
      </w:tr>
      <w:tr w14:paraId="7BBB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31940E98">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w:t>
            </w:r>
          </w:p>
        </w:tc>
        <w:tc>
          <w:tcPr>
            <w:tcW w:w="1907" w:type="dxa"/>
            <w:tcBorders>
              <w:right w:val="nil"/>
            </w:tcBorders>
            <w:vAlign w:val="center"/>
          </w:tcPr>
          <w:p w14:paraId="0C99AFB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w:t>
            </w:r>
          </w:p>
        </w:tc>
        <w:tc>
          <w:tcPr>
            <w:tcW w:w="6589" w:type="dxa"/>
            <w:tcBorders>
              <w:left w:val="nil"/>
            </w:tcBorders>
            <w:vAlign w:val="center"/>
          </w:tcPr>
          <w:p w14:paraId="458EB6EE">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14:paraId="14250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7E157C4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3.1</w:t>
            </w:r>
          </w:p>
        </w:tc>
        <w:tc>
          <w:tcPr>
            <w:tcW w:w="1907" w:type="dxa"/>
            <w:vAlign w:val="center"/>
          </w:tcPr>
          <w:p w14:paraId="64CA238B">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rPr>
              <w:t>文件的</w:t>
            </w:r>
          </w:p>
          <w:p w14:paraId="72B10A93">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sz w:val="24"/>
                <w:szCs w:val="24"/>
                <w:highlight w:val="none"/>
              </w:rPr>
              <w:t>澄清、修改</w:t>
            </w:r>
          </w:p>
        </w:tc>
        <w:tc>
          <w:tcPr>
            <w:tcW w:w="6589" w:type="dxa"/>
            <w:vAlign w:val="top"/>
          </w:tcPr>
          <w:p w14:paraId="3403A68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kern w:val="2"/>
                <w:sz w:val="24"/>
                <w:szCs w:val="24"/>
                <w:lang w:val="en-US" w:eastAsia="zh-CN" w:bidi="ar-SA"/>
              </w:rPr>
              <w:t>在</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截止</w:t>
            </w:r>
            <w:r>
              <w:rPr>
                <w:rFonts w:hint="eastAsia" w:ascii="仿宋" w:hAnsi="仿宋" w:eastAsia="仿宋" w:cs="仿宋"/>
                <w:color w:val="auto"/>
                <w:sz w:val="24"/>
                <w:szCs w:val="24"/>
                <w:lang w:eastAsia="zh-CN"/>
              </w:rPr>
              <w:t>日</w:t>
            </w:r>
            <w:r>
              <w:rPr>
                <w:rFonts w:hint="eastAsia" w:ascii="仿宋" w:hAnsi="仿宋" w:eastAsia="仿宋" w:cs="仿宋"/>
                <w:color w:val="auto"/>
                <w:kern w:val="2"/>
                <w:sz w:val="24"/>
                <w:szCs w:val="24"/>
                <w:lang w:val="en-US" w:eastAsia="zh-CN" w:bidi="ar-SA"/>
              </w:rPr>
              <w:t>前，采购人或者代理机构可以对已发出的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文件进行必要的</w:t>
            </w: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kern w:val="2"/>
                <w:sz w:val="24"/>
                <w:szCs w:val="24"/>
                <w:lang w:val="en-US" w:eastAsia="zh-CN" w:bidi="ar-SA"/>
              </w:rPr>
              <w:t>澄清或者修改。</w:t>
            </w:r>
          </w:p>
          <w:p w14:paraId="678FE1C6">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sz w:val="24"/>
                <w:szCs w:val="24"/>
                <w:lang w:val="en-US" w:eastAsia="zh-CN"/>
              </w:rPr>
              <w:t>说明、澄清或修改</w:t>
            </w:r>
            <w:r>
              <w:rPr>
                <w:rFonts w:hint="eastAsia" w:ascii="仿宋" w:hAnsi="仿宋" w:eastAsia="仿宋" w:cs="仿宋"/>
                <w:color w:val="auto"/>
                <w:kern w:val="2"/>
                <w:sz w:val="24"/>
                <w:szCs w:val="24"/>
                <w:lang w:val="en-US" w:eastAsia="zh-CN" w:bidi="ar-SA"/>
              </w:rPr>
              <w:t>的内容为招标文件的组成部分，采购人或者代理机构将在陕西省政府采购网发布更正公告，供应商应及时关注本项目更正公告信息，按更正后公告要求进行投标。更正内容可能影响投标文件编制的，采购人或者代理机构将通过项目电子化交易系统发布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文件，供应商应依据更正后的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文件编制投标文件。若供应商未按前述要求进行投标的，自行承担不利后果。</w:t>
            </w:r>
          </w:p>
        </w:tc>
      </w:tr>
      <w:tr w14:paraId="1ECE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6321F15">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3.2</w:t>
            </w:r>
          </w:p>
        </w:tc>
        <w:tc>
          <w:tcPr>
            <w:tcW w:w="1907" w:type="dxa"/>
            <w:vAlign w:val="center"/>
          </w:tcPr>
          <w:p w14:paraId="21D3E813">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w:t>
            </w:r>
            <w:r>
              <w:rPr>
                <w:rFonts w:hint="eastAsia" w:ascii="仿宋" w:hAnsi="仿宋" w:eastAsia="仿宋" w:cs="仿宋"/>
                <w:color w:val="auto"/>
                <w:sz w:val="24"/>
                <w:szCs w:val="24"/>
                <w:highlight w:val="none"/>
                <w:lang w:val="en-US" w:eastAsia="zh-CN"/>
              </w:rPr>
              <w:t>咨询</w:t>
            </w:r>
          </w:p>
        </w:tc>
        <w:tc>
          <w:tcPr>
            <w:tcW w:w="6589" w:type="dxa"/>
            <w:vAlign w:val="top"/>
          </w:tcPr>
          <w:p w14:paraId="0D9EBFB3">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文件后，应尽快阅读，</w:t>
            </w:r>
            <w:r>
              <w:rPr>
                <w:rFonts w:hint="eastAsia" w:ascii="仿宋" w:hAnsi="仿宋" w:eastAsia="仿宋" w:cs="仿宋"/>
                <w:color w:val="auto"/>
                <w:sz w:val="24"/>
                <w:highlight w:val="none"/>
                <w:lang w:val="en-US" w:eastAsia="zh-CN"/>
              </w:rPr>
              <w:t>对于</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文件中出现的同一内容前后不一致、表述不准确、笔误/瑕疵、漏项或异议等问题，供应商应及时向代理公司提出咨询、确认，否则应视为其完全理解和接受</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文件，对此造成的投标不良后果供应商自担</w:t>
            </w:r>
            <w:r>
              <w:rPr>
                <w:rFonts w:hint="eastAsia" w:ascii="仿宋" w:hAnsi="仿宋" w:eastAsia="仿宋" w:cs="仿宋"/>
                <w:color w:val="auto"/>
                <w:sz w:val="24"/>
                <w:szCs w:val="24"/>
                <w:highlight w:val="none"/>
                <w:lang w:val="en-US" w:eastAsia="zh-CN"/>
              </w:rPr>
              <w:t>。</w:t>
            </w:r>
          </w:p>
          <w:p w14:paraId="698FEB48">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文件的自我理解、判定、推测等造成的不利后果，由供应商自行承担。</w:t>
            </w:r>
          </w:p>
          <w:p w14:paraId="32A507C5">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14:paraId="26862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6D289A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1907" w:type="dxa"/>
            <w:vAlign w:val="center"/>
          </w:tcPr>
          <w:p w14:paraId="5BDF963F">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6589" w:type="dxa"/>
            <w:vAlign w:val="top"/>
          </w:tcPr>
          <w:p w14:paraId="0A26E85C">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供应商应及时关注了解并掌握本项目相关信息的变化、通知，否则后果自负。采购人或代理机构不承担由于供应商信息错误、人员变动等原因造成的信息接收不及时、不准确及传递有误等造成的不良后果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lang w:val="en-US" w:eastAsia="zh-CN" w:bidi="ar-SA"/>
              </w:rPr>
              <w:t>。</w:t>
            </w:r>
          </w:p>
        </w:tc>
      </w:tr>
      <w:tr w14:paraId="280E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550E789C">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5</w:t>
            </w:r>
          </w:p>
        </w:tc>
        <w:tc>
          <w:tcPr>
            <w:tcW w:w="1907" w:type="dxa"/>
            <w:tcBorders>
              <w:right w:val="nil"/>
            </w:tcBorders>
            <w:vAlign w:val="center"/>
          </w:tcPr>
          <w:p w14:paraId="65FA4F49">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w:t>
            </w:r>
          </w:p>
        </w:tc>
        <w:tc>
          <w:tcPr>
            <w:tcW w:w="6589" w:type="dxa"/>
            <w:tcBorders>
              <w:left w:val="nil"/>
            </w:tcBorders>
            <w:vAlign w:val="top"/>
          </w:tcPr>
          <w:p w14:paraId="408137BF">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14:paraId="1005C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20F2FA8F">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kern w:val="2"/>
                <w:sz w:val="24"/>
                <w:szCs w:val="24"/>
                <w:lang w:val="en-US" w:eastAsia="zh-CN" w:bidi="ar-SA"/>
              </w:rPr>
              <w:t>.1</w:t>
            </w:r>
          </w:p>
        </w:tc>
        <w:tc>
          <w:tcPr>
            <w:tcW w:w="1907" w:type="dxa"/>
            <w:shd w:val="clear" w:color="auto" w:fill="auto"/>
            <w:vAlign w:val="center"/>
          </w:tcPr>
          <w:p w14:paraId="0F9DF5DE">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sz w:val="24"/>
                <w:szCs w:val="24"/>
                <w:lang w:val="en-US" w:eastAsia="zh-CN"/>
              </w:rPr>
              <w:t>供应商对</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lang w:val="en-US" w:eastAsia="zh-CN"/>
              </w:rPr>
              <w:t>文件的补充、修改、澄清</w:t>
            </w:r>
          </w:p>
        </w:tc>
        <w:tc>
          <w:tcPr>
            <w:tcW w:w="6589" w:type="dxa"/>
            <w:shd w:val="clear" w:color="auto" w:fill="auto"/>
            <w:vAlign w:val="top"/>
          </w:tcPr>
          <w:p w14:paraId="5A8E7BC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rPr>
              <w:t>在</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截止时间</w:t>
            </w:r>
            <w:r>
              <w:rPr>
                <w:rFonts w:hint="eastAsia" w:ascii="仿宋" w:hAnsi="仿宋" w:eastAsia="仿宋" w:cs="仿宋"/>
                <w:color w:val="auto"/>
                <w:sz w:val="24"/>
                <w:szCs w:val="24"/>
                <w:highlight w:val="none"/>
                <w:lang w:val="en-US" w:eastAsia="zh-CN"/>
              </w:rPr>
              <w:t>前，供应商可以补充、修改或者撤回已成功提交的投标文件；对投标文件进行补充、修改的，应当先行撤回已提交的投标文件，补充、修改后重新提交。</w:t>
            </w:r>
          </w:p>
          <w:p w14:paraId="0A98620D">
            <w:pPr>
              <w:keepNext w:val="0"/>
              <w:keepLines w:val="0"/>
              <w:pageBreakBefore w:val="0"/>
              <w:kinsoku/>
              <w:wordWrap/>
              <w:overflowPunct/>
              <w:topLinePunct w:val="0"/>
              <w:autoSpaceDE/>
              <w:autoSpaceDN/>
              <w:bidi w:val="0"/>
              <w:adjustRightInd/>
              <w:spacing w:line="500" w:lineRule="exac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供应商投标文件撤回后，视为未提交过投标文件。</w:t>
            </w:r>
          </w:p>
        </w:tc>
      </w:tr>
      <w:tr w14:paraId="0AC08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A9CB97D">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w:t>
            </w:r>
          </w:p>
        </w:tc>
        <w:tc>
          <w:tcPr>
            <w:tcW w:w="1907" w:type="dxa"/>
            <w:shd w:val="clear" w:color="auto" w:fill="auto"/>
            <w:vAlign w:val="center"/>
          </w:tcPr>
          <w:p w14:paraId="5F7967BE">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报</w:t>
            </w:r>
            <w:r>
              <w:rPr>
                <w:rFonts w:hint="eastAsia" w:ascii="仿宋" w:hAnsi="仿宋" w:eastAsia="仿宋" w:cs="仿宋"/>
                <w:sz w:val="24"/>
                <w:szCs w:val="24"/>
                <w:highlight w:val="none"/>
              </w:rPr>
              <w:t>价</w:t>
            </w:r>
          </w:p>
        </w:tc>
        <w:tc>
          <w:tcPr>
            <w:tcW w:w="6589" w:type="dxa"/>
            <w:shd w:val="clear" w:color="auto" w:fill="auto"/>
            <w:vAlign w:val="center"/>
          </w:tcPr>
          <w:p w14:paraId="0ED85B0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1.人民币报价，为含税价。</w:t>
            </w:r>
          </w:p>
          <w:p w14:paraId="52C779F8">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2.本项目为固定总价合同（全费用交钥匙价），包含按采购要求及投标响应完成本项目所发生的可预见和不可预见的一切费用，采购人不再支付任何费用（合同另有约定的事项除外）。</w:t>
            </w:r>
          </w:p>
          <w:p w14:paraId="4B9192C3">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3.本项目中标价在合同期内应固定不变。（</w:t>
            </w:r>
            <w:r>
              <w:rPr>
                <w:rFonts w:hint="eastAsia" w:ascii="仿宋" w:hAnsi="仿宋" w:eastAsia="仿宋" w:cs="仿宋"/>
                <w:sz w:val="24"/>
                <w:szCs w:val="24"/>
                <w:highlight w:val="none"/>
                <w:lang w:val="en-US" w:eastAsia="zh-CN"/>
              </w:rPr>
              <w:t>不可抗力、法定情形或合法变更等影响价格情形除外</w:t>
            </w:r>
            <w:r>
              <w:rPr>
                <w:rFonts w:hint="eastAsia" w:ascii="仿宋" w:hAnsi="仿宋" w:eastAsia="仿宋" w:cs="仿宋"/>
                <w:color w:val="auto"/>
                <w:sz w:val="24"/>
                <w:szCs w:val="24"/>
                <w:highlight w:val="none"/>
                <w:lang w:val="en-US" w:eastAsia="zh-CN"/>
              </w:rPr>
              <w:t>）。</w:t>
            </w:r>
          </w:p>
          <w:p w14:paraId="312C19B1">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不得违反《价格法》和《反不正当竞争法》的相关规定。因误读、理解偏差、对文件、项目或政策了解不全等原因造成的后果，将按照对采购人有利的方法进行处理，不利后果由供应商自行承担。</w:t>
            </w:r>
          </w:p>
          <w:p w14:paraId="39D0C9A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lang w:val="en-US"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严格执行国家或行业强制性规定执行，不得违反相关法律法规及政策性文件</w:t>
            </w:r>
            <w:r>
              <w:rPr>
                <w:rFonts w:hint="eastAsia" w:ascii="仿宋" w:hAnsi="仿宋" w:eastAsia="仿宋" w:cs="仿宋"/>
                <w:color w:val="auto"/>
                <w:sz w:val="24"/>
                <w:lang w:val="en-US" w:eastAsia="zh-CN"/>
              </w:rPr>
              <w:t>等</w:t>
            </w:r>
            <w:r>
              <w:rPr>
                <w:rFonts w:hint="eastAsia" w:ascii="仿宋" w:hAnsi="仿宋" w:eastAsia="仿宋" w:cs="仿宋"/>
                <w:color w:val="auto"/>
                <w:sz w:val="24"/>
                <w:szCs w:val="24"/>
                <w:highlight w:val="none"/>
                <w:lang w:val="en-US" w:eastAsia="zh-CN"/>
              </w:rPr>
              <w:t>。</w:t>
            </w:r>
          </w:p>
          <w:p w14:paraId="6AA13DA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6.价格风险（不仅限价格波动、报价差错等）由供应商自行承担，多报费用在价格评审时不扣除，但中标价中应当扣除。少报费用视为含在总报价中，且不对招标范围、招标内容及项目质量等产生任何影响</w:t>
            </w:r>
            <w:r>
              <w:rPr>
                <w:rFonts w:hint="eastAsia" w:ascii="仿宋" w:hAnsi="仿宋" w:eastAsia="仿宋" w:cs="仿宋"/>
                <w:color w:val="auto"/>
                <w:sz w:val="24"/>
                <w:szCs w:val="24"/>
                <w:lang w:val="en-US" w:eastAsia="zh-CN"/>
              </w:rPr>
              <w:t>。</w:t>
            </w:r>
          </w:p>
        </w:tc>
      </w:tr>
      <w:tr w14:paraId="2491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F2770C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1907" w:type="dxa"/>
            <w:vAlign w:val="center"/>
          </w:tcPr>
          <w:p w14:paraId="735CBD8B">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rPr>
              <w:t>投标</w:t>
            </w:r>
            <w:r>
              <w:rPr>
                <w:rFonts w:hint="eastAsia" w:ascii="仿宋" w:hAnsi="仿宋" w:eastAsia="仿宋" w:cs="仿宋"/>
                <w:color w:val="auto"/>
                <w:sz w:val="24"/>
                <w:szCs w:val="24"/>
                <w:highlight w:val="none"/>
                <w:lang w:val="en-US" w:eastAsia="zh-CN"/>
              </w:rPr>
              <w:t>备选方案</w:t>
            </w:r>
          </w:p>
        </w:tc>
        <w:tc>
          <w:tcPr>
            <w:tcW w:w="6589" w:type="dxa"/>
            <w:vAlign w:val="center"/>
          </w:tcPr>
          <w:p w14:paraId="39FB7DCE">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14:paraId="37045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799280C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w:t>
            </w:r>
          </w:p>
        </w:tc>
        <w:tc>
          <w:tcPr>
            <w:tcW w:w="1907" w:type="dxa"/>
            <w:shd w:val="clear" w:color="auto" w:fill="auto"/>
            <w:vAlign w:val="center"/>
          </w:tcPr>
          <w:p w14:paraId="1A1B25FF">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textAlignment w:val="auto"/>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val="0"/>
                <w:dstrike w:val="0"/>
                <w:color w:val="auto"/>
                <w:szCs w:val="24"/>
                <w:highlight w:val="none"/>
                <w:lang w:val="en-US" w:eastAsia="zh-CN"/>
              </w:rPr>
              <w:t>产品包装</w:t>
            </w:r>
          </w:p>
        </w:tc>
        <w:tc>
          <w:tcPr>
            <w:tcW w:w="6589" w:type="dxa"/>
            <w:shd w:val="clear" w:color="auto" w:fill="auto"/>
            <w:vAlign w:val="center"/>
          </w:tcPr>
          <w:p w14:paraId="40082A70">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strike/>
                <w:dstrike w:val="0"/>
                <w:color w:val="auto"/>
                <w:kern w:val="2"/>
                <w:sz w:val="24"/>
                <w:szCs w:val="24"/>
                <w:highlight w:val="green"/>
                <w:lang w:val="en-US" w:eastAsia="zh-CN" w:bidi="ar-SA"/>
              </w:rPr>
            </w:pPr>
            <w:r>
              <w:rPr>
                <w:rFonts w:hint="eastAsia" w:ascii="仿宋" w:hAnsi="仿宋" w:eastAsia="仿宋" w:cs="仿宋"/>
                <w:color w:val="auto"/>
                <w:sz w:val="24"/>
                <w:szCs w:val="24"/>
                <w:highlight w:val="none"/>
                <w:lang w:val="en-US" w:eastAsia="zh-CN"/>
              </w:rPr>
              <w:t>符合财办库〔2020〕123号文《商品包装政府采购需求标准（试行）》、《快递包装政府采购需求标准（试行）》的要求。</w:t>
            </w:r>
          </w:p>
        </w:tc>
      </w:tr>
      <w:tr w14:paraId="5F90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4CA017E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8</w:t>
            </w:r>
          </w:p>
        </w:tc>
        <w:tc>
          <w:tcPr>
            <w:tcW w:w="1907" w:type="dxa"/>
            <w:shd w:val="clear" w:color="auto" w:fill="auto"/>
            <w:vAlign w:val="center"/>
          </w:tcPr>
          <w:p w14:paraId="5888B0B2">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进口产品</w:t>
            </w:r>
          </w:p>
        </w:tc>
        <w:tc>
          <w:tcPr>
            <w:tcW w:w="6589" w:type="dxa"/>
            <w:shd w:val="clear" w:color="auto" w:fill="auto"/>
            <w:vAlign w:val="center"/>
          </w:tcPr>
          <w:p w14:paraId="38A63695">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w:t>
            </w:r>
          </w:p>
        </w:tc>
      </w:tr>
      <w:tr w14:paraId="00A0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45A3FB2B">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9</w:t>
            </w:r>
          </w:p>
        </w:tc>
        <w:tc>
          <w:tcPr>
            <w:tcW w:w="1907" w:type="dxa"/>
            <w:shd w:val="clear" w:color="auto" w:fill="auto"/>
            <w:vAlign w:val="center"/>
          </w:tcPr>
          <w:p w14:paraId="23931840">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val="0"/>
                <w:color w:val="auto"/>
                <w:kern w:val="0"/>
                <w:sz w:val="24"/>
                <w:szCs w:val="24"/>
                <w:lang w:val="en-US" w:eastAsia="zh-CN" w:bidi="ar-SA"/>
              </w:rPr>
              <w:t>实质性要求</w:t>
            </w:r>
          </w:p>
        </w:tc>
        <w:tc>
          <w:tcPr>
            <w:tcW w:w="6589" w:type="dxa"/>
            <w:shd w:val="clear" w:color="auto" w:fill="auto"/>
            <w:vAlign w:val="center"/>
          </w:tcPr>
          <w:p w14:paraId="14C11EF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1.供应商资格要求；2.符合性要求；</w:t>
            </w:r>
            <w:r>
              <w:rPr>
                <w:rFonts w:hint="eastAsia" w:ascii="仿宋" w:hAnsi="仿宋" w:eastAsia="仿宋" w:cs="仿宋"/>
                <w:b w:val="0"/>
                <w:bCs w:val="0"/>
                <w:color w:val="auto"/>
                <w:sz w:val="24"/>
                <w:szCs w:val="24"/>
                <w:highlight w:val="none"/>
                <w:lang w:val="en-US" w:eastAsia="zh-CN"/>
              </w:rPr>
              <w:t>3.法律法规和招标文件规定的其他实质性要求。</w:t>
            </w:r>
          </w:p>
        </w:tc>
      </w:tr>
      <w:tr w14:paraId="5AE2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3B159CD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10</w:t>
            </w:r>
          </w:p>
        </w:tc>
        <w:tc>
          <w:tcPr>
            <w:tcW w:w="1907" w:type="dxa"/>
            <w:shd w:val="clear" w:color="auto" w:fill="auto"/>
            <w:vAlign w:val="center"/>
          </w:tcPr>
          <w:p w14:paraId="3D7E5824">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lang w:val="en-US" w:eastAsia="zh-CN"/>
              </w:rPr>
              <w:t>文件说明</w:t>
            </w:r>
          </w:p>
        </w:tc>
        <w:tc>
          <w:tcPr>
            <w:tcW w:w="6589" w:type="dxa"/>
            <w:shd w:val="clear" w:color="auto" w:fill="auto"/>
            <w:vAlign w:val="center"/>
          </w:tcPr>
          <w:p w14:paraId="065F5A51">
            <w:pPr>
              <w:keepNext w:val="0"/>
              <w:keepLines w:val="0"/>
              <w:pageBreakBefore w:val="0"/>
              <w:kinsoku/>
              <w:wordWrap/>
              <w:overflowPunct/>
              <w:topLinePunct w:val="0"/>
              <w:autoSpaceDE/>
              <w:autoSpaceDN/>
              <w:bidi w:val="0"/>
              <w:adjustRightInd/>
              <w:spacing w:line="500" w:lineRule="exact"/>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1.若招标文件前后内容不一致或有瑕疵时，在不影响评审结果或评审公正公平进行的情况下，由代理机构澄清确认后继续评审。</w:t>
            </w:r>
          </w:p>
          <w:p w14:paraId="2C91281B">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2.采购过程中，若招标技术文件引用的标准遇新标准颁布，则在评审时引用标准和新标准均为有效。</w:t>
            </w:r>
          </w:p>
        </w:tc>
      </w:tr>
      <w:tr w14:paraId="121E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63402FE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shd w:val="clear" w:color="auto" w:fill="auto"/>
            <w:vAlign w:val="center"/>
          </w:tcPr>
          <w:p w14:paraId="7AF9FB4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589" w:type="dxa"/>
            <w:shd w:val="clear" w:color="auto" w:fill="auto"/>
            <w:vAlign w:val="center"/>
          </w:tcPr>
          <w:p w14:paraId="6006B082">
            <w:pPr>
              <w:keepNext w:val="0"/>
              <w:keepLines w:val="0"/>
              <w:pageBreakBefore w:val="0"/>
              <w:kinsoku/>
              <w:wordWrap/>
              <w:overflowPunct/>
              <w:topLinePunct w:val="0"/>
              <w:autoSpaceDE/>
              <w:autoSpaceDN/>
              <w:bidi w:val="0"/>
              <w:adjustRightInd/>
              <w:spacing w:line="500" w:lineRule="exact"/>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14:paraId="1DD9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21CA38F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tcBorders>
              <w:right w:val="nil"/>
            </w:tcBorders>
            <w:vAlign w:val="center"/>
          </w:tcPr>
          <w:p w14:paraId="2EF6805D">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589" w:type="dxa"/>
            <w:tcBorders>
              <w:left w:val="nil"/>
            </w:tcBorders>
            <w:vAlign w:val="center"/>
          </w:tcPr>
          <w:p w14:paraId="44E5743E">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144B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5115613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.1</w:t>
            </w:r>
          </w:p>
        </w:tc>
        <w:tc>
          <w:tcPr>
            <w:tcW w:w="1907" w:type="dxa"/>
            <w:shd w:val="clear" w:color="auto" w:fill="auto"/>
            <w:vAlign w:val="center"/>
          </w:tcPr>
          <w:p w14:paraId="4FD90185">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589" w:type="dxa"/>
            <w:shd w:val="clear" w:color="auto" w:fill="auto"/>
            <w:vAlign w:val="center"/>
          </w:tcPr>
          <w:p w14:paraId="5BA6E67D">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14:paraId="4EFD2389">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14:paraId="4ACD0811">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14:paraId="13C575CA">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val="en-US" w:eastAsia="zh-CN"/>
              </w:rPr>
              <w:t>（供应商应认真、审慎、客观获取制造商相关信息，不利后果由供应商承担）</w:t>
            </w:r>
            <w:r>
              <w:rPr>
                <w:rFonts w:hint="eastAsia" w:ascii="仿宋" w:hAnsi="仿宋" w:eastAsia="仿宋" w:cs="仿宋"/>
                <w:color w:val="auto"/>
                <w:kern w:val="0"/>
                <w:sz w:val="24"/>
                <w:lang w:eastAsia="zh-CN"/>
              </w:rPr>
              <w:t>。</w:t>
            </w:r>
          </w:p>
          <w:p w14:paraId="2A29E3CB">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5.中标人提供的《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》、《残疾人福利性单位声明函》、《监狱或戒毒企业声明函》随同中标结果公示，接受社会监督，若有不实，将承担经济和法律后果。</w:t>
            </w:r>
          </w:p>
          <w:p w14:paraId="55C2AD52">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14:paraId="07D7CD8E">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投标企业</w:t>
            </w:r>
            <w:r>
              <w:rPr>
                <w:rFonts w:hint="eastAsia" w:ascii="仿宋" w:hAnsi="仿宋" w:eastAsia="仿宋" w:cs="仿宋"/>
                <w:color w:val="auto"/>
                <w:sz w:val="24"/>
                <w:szCs w:val="24"/>
                <w:highlight w:val="none"/>
              </w:rPr>
              <w:t>注册登记所在地的县级以上人民政府中小企业主管部门负责。</w:t>
            </w:r>
          </w:p>
        </w:tc>
      </w:tr>
      <w:tr w14:paraId="26035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6B244A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.2</w:t>
            </w:r>
          </w:p>
        </w:tc>
        <w:tc>
          <w:tcPr>
            <w:tcW w:w="1907" w:type="dxa"/>
            <w:shd w:val="clear" w:color="auto" w:fill="auto"/>
            <w:vAlign w:val="center"/>
          </w:tcPr>
          <w:p w14:paraId="255D0DD3">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14:paraId="6E162195">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589" w:type="dxa"/>
            <w:shd w:val="clear" w:color="auto" w:fill="auto"/>
            <w:vAlign w:val="center"/>
          </w:tcPr>
          <w:p w14:paraId="7901FF1F">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snapToGrid w:val="0"/>
                <w:color w:val="auto"/>
                <w:kern w:val="0"/>
                <w:sz w:val="24"/>
                <w:szCs w:val="24"/>
                <w:highlight w:val="none"/>
                <w:lang w:val="en-US" w:eastAsia="zh-CN" w:bidi="ar-SA"/>
              </w:rPr>
              <w:t>工业</w:t>
            </w:r>
          </w:p>
          <w:p w14:paraId="4669E86D">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w:t>
            </w:r>
            <w:r>
              <w:rPr>
                <w:rFonts w:hint="default" w:ascii="仿宋" w:hAnsi="仿宋" w:eastAsia="仿宋" w:cs="仿宋"/>
                <w:snapToGrid w:val="0"/>
                <w:color w:val="auto"/>
                <w:kern w:val="0"/>
                <w:sz w:val="24"/>
                <w:szCs w:val="24"/>
                <w:highlight w:val="none"/>
                <w:lang w:val="en-US" w:eastAsia="zh-CN" w:bidi="ar-SA"/>
              </w:rPr>
              <w:t>①</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40000万元，为大型企业；</w:t>
            </w:r>
            <w:r>
              <w:rPr>
                <w:rFonts w:hint="default" w:ascii="仿宋" w:hAnsi="仿宋" w:eastAsia="仿宋" w:cs="仿宋"/>
                <w:snapToGrid w:val="0"/>
                <w:color w:val="auto"/>
                <w:kern w:val="0"/>
                <w:sz w:val="24"/>
                <w:szCs w:val="24"/>
                <w:highlight w:val="none"/>
                <w:lang w:val="en-US" w:eastAsia="zh-CN" w:bidi="ar-SA"/>
              </w:rPr>
              <w:t>②</w:t>
            </w:r>
            <w:r>
              <w:rPr>
                <w:rFonts w:hint="eastAsia" w:ascii="仿宋" w:hAnsi="仿宋" w:eastAsia="仿宋" w:cs="仿宋"/>
                <w:snapToGrid w:val="0"/>
                <w:color w:val="auto"/>
                <w:kern w:val="0"/>
                <w:sz w:val="24"/>
                <w:szCs w:val="24"/>
                <w:highlight w:val="none"/>
                <w:lang w:val="en-US" w:eastAsia="zh-CN" w:bidi="ar-SA"/>
              </w:rPr>
              <w:t>300人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1000人，且2000万元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40000万元，为中型企业；</w:t>
            </w:r>
            <w:r>
              <w:rPr>
                <w:rFonts w:hint="default" w:ascii="仿宋" w:hAnsi="仿宋" w:eastAsia="仿宋" w:cs="仿宋"/>
                <w:snapToGrid w:val="0"/>
                <w:color w:val="auto"/>
                <w:kern w:val="0"/>
                <w:sz w:val="24"/>
                <w:szCs w:val="24"/>
                <w:highlight w:val="none"/>
                <w:lang w:val="en-US" w:eastAsia="zh-CN" w:bidi="ar-SA"/>
              </w:rPr>
              <w:t>③</w:t>
            </w:r>
            <w:r>
              <w:rPr>
                <w:rFonts w:hint="eastAsia" w:ascii="仿宋" w:hAnsi="仿宋" w:eastAsia="仿宋" w:cs="仿宋"/>
                <w:snapToGrid w:val="0"/>
                <w:color w:val="auto"/>
                <w:kern w:val="0"/>
                <w:sz w:val="24"/>
                <w:szCs w:val="24"/>
                <w:highlight w:val="none"/>
                <w:lang w:val="en-US" w:eastAsia="zh-CN" w:bidi="ar-SA"/>
              </w:rPr>
              <w:t>20人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300人，且300万元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2000万元，为小型企业；</w:t>
            </w:r>
            <w:r>
              <w:rPr>
                <w:rFonts w:hint="default" w:ascii="仿宋" w:hAnsi="仿宋" w:eastAsia="仿宋" w:cs="仿宋"/>
                <w:snapToGrid w:val="0"/>
                <w:color w:val="auto"/>
                <w:kern w:val="0"/>
                <w:sz w:val="24"/>
                <w:szCs w:val="24"/>
                <w:highlight w:val="none"/>
                <w:lang w:val="en-US" w:eastAsia="zh-CN" w:bidi="ar-SA"/>
              </w:rPr>
              <w:t>④</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20人，或营业收入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300万元，为微型企业。</w:t>
            </w:r>
          </w:p>
        </w:tc>
      </w:tr>
      <w:tr w14:paraId="0C920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553FF7EA">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.3</w:t>
            </w:r>
          </w:p>
        </w:tc>
        <w:tc>
          <w:tcPr>
            <w:tcW w:w="1907" w:type="dxa"/>
            <w:shd w:val="clear" w:color="auto" w:fill="auto"/>
            <w:vAlign w:val="center"/>
          </w:tcPr>
          <w:p w14:paraId="1637AE3B">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589" w:type="dxa"/>
            <w:shd w:val="clear" w:color="auto" w:fill="auto"/>
            <w:vAlign w:val="center"/>
          </w:tcPr>
          <w:p w14:paraId="0887B8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0" w:firstLineChars="0"/>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从业人员、营业收入、资产总额：以参加本采购活动的上年年末数字为准（或全年平均数字），无上一年度数据的新成立企业可不填报（须提供有效印证材料）。</w:t>
            </w:r>
          </w:p>
        </w:tc>
      </w:tr>
      <w:tr w14:paraId="75F6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110CC9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12.4</w:t>
            </w:r>
          </w:p>
        </w:tc>
        <w:tc>
          <w:tcPr>
            <w:tcW w:w="1907" w:type="dxa"/>
            <w:shd w:val="clear" w:color="auto" w:fill="auto"/>
            <w:vAlign w:val="center"/>
          </w:tcPr>
          <w:p w14:paraId="37D046A4">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14:paraId="2BAFCCFF">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589" w:type="dxa"/>
            <w:shd w:val="clear" w:color="auto" w:fill="auto"/>
            <w:vAlign w:val="center"/>
          </w:tcPr>
          <w:p w14:paraId="14E1E6C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形，评标小组可要求供应商予以澄清，澄清后符合中小企业条件的，该声明函有效，否则无效，不享受价格优惠</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lang w:val="en-US" w:eastAsia="zh-CN"/>
              </w:rPr>
              <w:t>（评审时不寻求外部证据）。</w:t>
            </w:r>
          </w:p>
        </w:tc>
      </w:tr>
      <w:tr w14:paraId="759B4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07A406CE">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tcBorders>
              <w:right w:val="nil"/>
            </w:tcBorders>
            <w:vAlign w:val="center"/>
          </w:tcPr>
          <w:p w14:paraId="3DCE8484">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589" w:type="dxa"/>
            <w:tcBorders>
              <w:left w:val="nil"/>
            </w:tcBorders>
            <w:vAlign w:val="center"/>
          </w:tcPr>
          <w:p w14:paraId="79E5508C">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2814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7F73C6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13.1</w:t>
            </w:r>
          </w:p>
        </w:tc>
        <w:tc>
          <w:tcPr>
            <w:tcW w:w="1907" w:type="dxa"/>
            <w:vAlign w:val="center"/>
          </w:tcPr>
          <w:p w14:paraId="25D1D3D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589" w:type="dxa"/>
            <w:vAlign w:val="center"/>
          </w:tcPr>
          <w:p w14:paraId="623C509B">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14:paraId="3D42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12B0FF1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13.2</w:t>
            </w:r>
          </w:p>
        </w:tc>
        <w:tc>
          <w:tcPr>
            <w:tcW w:w="1907" w:type="dxa"/>
            <w:shd w:val="clear" w:color="auto" w:fill="auto"/>
            <w:vAlign w:val="center"/>
          </w:tcPr>
          <w:p w14:paraId="62B5DC8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签订合同</w:t>
            </w:r>
          </w:p>
        </w:tc>
        <w:tc>
          <w:tcPr>
            <w:tcW w:w="6589" w:type="dxa"/>
            <w:shd w:val="clear" w:color="auto" w:fill="auto"/>
            <w:vAlign w:val="center"/>
          </w:tcPr>
          <w:p w14:paraId="1E3EEF2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自中标</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三十</w:t>
            </w:r>
            <w:r>
              <w:rPr>
                <w:rFonts w:hint="eastAsia" w:ascii="仿宋" w:hAnsi="仿宋" w:eastAsia="仿宋" w:cs="仿宋"/>
                <w:bCs/>
                <w:color w:val="auto"/>
                <w:sz w:val="24"/>
                <w:szCs w:val="24"/>
                <w:highlight w:val="none"/>
                <w:lang w:eastAsia="zh-CN"/>
              </w:rPr>
              <w:t>日（</w:t>
            </w:r>
            <w:r>
              <w:rPr>
                <w:rFonts w:hint="eastAsia" w:ascii="仿宋" w:hAnsi="仿宋" w:eastAsia="仿宋" w:cs="仿宋"/>
                <w:bCs/>
                <w:color w:val="auto"/>
                <w:sz w:val="24"/>
                <w:szCs w:val="24"/>
                <w:highlight w:val="none"/>
                <w:lang w:val="en-US" w:eastAsia="zh-CN"/>
              </w:rPr>
              <w:t>按照政府采购最新政策规定，应当自</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highlight w:val="none"/>
                <w:lang w:val="en-US" w:eastAsia="zh-CN"/>
              </w:rPr>
              <w:t>通知书发出之日起二十五日</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采购人与中标人按照招标文件确定的事项和投标文件订立书面合同（合同不能对招标投标已确定的实质性内容进行修改）。采购人和中标人不得再行订立背离合同实质性内容的其他协议</w:t>
            </w:r>
            <w:r>
              <w:rPr>
                <w:rFonts w:hint="eastAsia" w:ascii="仿宋" w:hAnsi="仿宋" w:eastAsia="仿宋" w:cs="仿宋"/>
                <w:bCs/>
                <w:color w:val="auto"/>
                <w:sz w:val="24"/>
                <w:szCs w:val="24"/>
                <w:lang w:eastAsia="zh-CN"/>
              </w:rPr>
              <w:t>。</w:t>
            </w:r>
          </w:p>
          <w:p w14:paraId="499F9726">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招标文件要求中标人提交履约保证金或者其他形式履约或风险保证的，中标人应当提交；拒绝提交的，视为放弃中标资格</w:t>
            </w:r>
            <w:r>
              <w:rPr>
                <w:rFonts w:hint="eastAsia" w:ascii="仿宋" w:hAnsi="仿宋" w:eastAsia="仿宋" w:cs="仿宋"/>
                <w:bCs/>
                <w:color w:val="auto"/>
                <w:sz w:val="24"/>
                <w:szCs w:val="24"/>
                <w:lang w:eastAsia="zh-CN"/>
              </w:rPr>
              <w:t>。</w:t>
            </w:r>
          </w:p>
          <w:p w14:paraId="69F8C040">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14:paraId="13809DB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通知书是合同的重要组成部分。</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文件、</w:t>
            </w:r>
            <w:r>
              <w:rPr>
                <w:rFonts w:hint="eastAsia" w:ascii="仿宋" w:hAnsi="仿宋" w:eastAsia="仿宋" w:cs="仿宋"/>
                <w:bCs/>
                <w:color w:val="auto"/>
                <w:sz w:val="24"/>
                <w:szCs w:val="24"/>
                <w:lang w:val="en-US" w:eastAsia="zh-CN"/>
              </w:rPr>
              <w:t>投标</w:t>
            </w:r>
            <w:r>
              <w:rPr>
                <w:rFonts w:hint="eastAsia" w:ascii="仿宋" w:hAnsi="仿宋" w:eastAsia="仿宋" w:cs="仿宋"/>
                <w:bCs/>
                <w:color w:val="auto"/>
                <w:sz w:val="24"/>
                <w:szCs w:val="24"/>
              </w:rPr>
              <w:t>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中标无效的，发出的中标通知书和签订的合同自始没有法律约束力，但不影响合同中独立存在的有关解决争议方法的条款的效力。</w:t>
            </w:r>
          </w:p>
          <w:p w14:paraId="264E9A9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人应按照合同约定履行义务。</w:t>
            </w:r>
          </w:p>
          <w:p w14:paraId="23385480">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中标后签订合同前，采购人有权要求对招标规定或投标提交的文件资料原件进行核查或关键性能指标进行测试，若中标人在规定时间内拒不配合，造成可能导致无法按期签订合同，造成项目无法按期推进，视为不按招标要求和投标响应执行，不履行对招标要约的承诺，损害了采购方的权益，构成违约，采购人有权取消期中标资格</w:t>
            </w:r>
            <w:r>
              <w:rPr>
                <w:rFonts w:hint="eastAsia" w:ascii="仿宋" w:hAnsi="仿宋" w:eastAsia="仿宋" w:cs="仿宋"/>
                <w:bCs/>
                <w:color w:val="auto"/>
                <w:sz w:val="24"/>
                <w:szCs w:val="24"/>
              </w:rPr>
              <w:t>。</w:t>
            </w:r>
          </w:p>
        </w:tc>
      </w:tr>
      <w:tr w14:paraId="3D66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51E8FB4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13.3</w:t>
            </w:r>
          </w:p>
        </w:tc>
        <w:tc>
          <w:tcPr>
            <w:tcW w:w="1907" w:type="dxa"/>
            <w:vAlign w:val="center"/>
          </w:tcPr>
          <w:p w14:paraId="1A05B601">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589" w:type="dxa"/>
            <w:vAlign w:val="center"/>
          </w:tcPr>
          <w:p w14:paraId="4D5BEF0F">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14:paraId="4E37059D">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14:paraId="75850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5D92717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13.4</w:t>
            </w:r>
          </w:p>
        </w:tc>
        <w:tc>
          <w:tcPr>
            <w:tcW w:w="1907" w:type="dxa"/>
            <w:vAlign w:val="center"/>
          </w:tcPr>
          <w:p w14:paraId="5EC67DB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589" w:type="dxa"/>
            <w:vAlign w:val="center"/>
          </w:tcPr>
          <w:p w14:paraId="4680188A">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14:paraId="7F8F5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3F6EDE09">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14:paraId="4E94244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评标</w:t>
            </w:r>
          </w:p>
        </w:tc>
        <w:tc>
          <w:tcPr>
            <w:tcW w:w="6589" w:type="dxa"/>
            <w:tcBorders>
              <w:left w:val="nil"/>
            </w:tcBorders>
            <w:vAlign w:val="center"/>
          </w:tcPr>
          <w:p w14:paraId="1B97AE1F">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5D13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6F819136">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14:paraId="60316C8D">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资格审查主体</w:t>
            </w:r>
          </w:p>
        </w:tc>
        <w:tc>
          <w:tcPr>
            <w:tcW w:w="6589" w:type="dxa"/>
            <w:shd w:val="clear" w:color="auto" w:fill="auto"/>
            <w:vAlign w:val="center"/>
          </w:tcPr>
          <w:p w14:paraId="2EF7ECF4">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highlight w:val="none"/>
                <w:lang w:val="en-US" w:eastAsia="zh-CN" w:bidi="ar-SA"/>
              </w:rPr>
              <w:t>采购人</w:t>
            </w:r>
          </w:p>
        </w:tc>
      </w:tr>
      <w:tr w14:paraId="2D3E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1D81AC8">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14.2</w:t>
            </w:r>
          </w:p>
        </w:tc>
        <w:tc>
          <w:tcPr>
            <w:tcW w:w="1907" w:type="dxa"/>
            <w:shd w:val="clear" w:color="auto" w:fill="auto"/>
            <w:vAlign w:val="center"/>
          </w:tcPr>
          <w:p w14:paraId="383C1475">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符合性审查主体</w:t>
            </w:r>
          </w:p>
        </w:tc>
        <w:tc>
          <w:tcPr>
            <w:tcW w:w="6589" w:type="dxa"/>
            <w:shd w:val="clear" w:color="auto" w:fill="auto"/>
            <w:vAlign w:val="center"/>
          </w:tcPr>
          <w:p w14:paraId="52978F6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lang w:val="en-US" w:eastAsia="zh-CN" w:bidi="ar-SA"/>
              </w:rPr>
              <w:t>评</w:t>
            </w:r>
            <w:r>
              <w:rPr>
                <w:rFonts w:hint="eastAsia" w:ascii="仿宋" w:hAnsi="仿宋" w:eastAsia="仿宋" w:cs="仿宋"/>
                <w:sz w:val="24"/>
              </w:rPr>
              <w:t>标</w:t>
            </w:r>
            <w:r>
              <w:rPr>
                <w:rFonts w:hint="eastAsia" w:ascii="仿宋" w:hAnsi="仿宋" w:eastAsia="仿宋" w:cs="仿宋"/>
                <w:b w:val="0"/>
                <w:bCs w:val="0"/>
                <w:color w:val="auto"/>
                <w:kern w:val="0"/>
                <w:sz w:val="24"/>
                <w:szCs w:val="24"/>
                <w:lang w:val="en-US" w:eastAsia="zh-CN" w:bidi="ar-SA"/>
              </w:rPr>
              <w:t>小组</w:t>
            </w:r>
          </w:p>
        </w:tc>
      </w:tr>
      <w:tr w14:paraId="2798C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2957797">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14.3</w:t>
            </w:r>
          </w:p>
        </w:tc>
        <w:tc>
          <w:tcPr>
            <w:tcW w:w="1907" w:type="dxa"/>
            <w:shd w:val="clear" w:color="auto" w:fill="auto"/>
            <w:vAlign w:val="center"/>
          </w:tcPr>
          <w:p w14:paraId="423BCB72">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strike w:val="0"/>
                <w:dstrike w:val="0"/>
                <w:color w:val="auto"/>
                <w:sz w:val="24"/>
                <w:szCs w:val="24"/>
                <w:highlight w:val="none"/>
                <w:lang w:val="en-US" w:eastAsia="zh-CN"/>
              </w:rPr>
              <w:t>评审说明</w:t>
            </w:r>
          </w:p>
        </w:tc>
        <w:tc>
          <w:tcPr>
            <w:tcW w:w="6589" w:type="dxa"/>
            <w:shd w:val="clear" w:color="auto" w:fill="auto"/>
            <w:vAlign w:val="center"/>
          </w:tcPr>
          <w:p w14:paraId="0C1C4EF0">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b w:val="0"/>
                <w:bCs w:val="0"/>
                <w:color w:val="auto"/>
                <w:kern w:val="0"/>
                <w:sz w:val="24"/>
                <w:szCs w:val="24"/>
                <w:lang w:val="en-US" w:eastAsia="zh-CN" w:bidi="ar-SA"/>
              </w:rPr>
            </w:pPr>
            <w:r>
              <w:rPr>
                <w:rFonts w:hint="eastAsia" w:ascii="仿宋" w:hAnsi="仿宋" w:eastAsia="仿宋" w:cs="仿宋"/>
                <w:b w:val="0"/>
                <w:bCs w:val="0"/>
                <w:color w:val="auto"/>
                <w:kern w:val="0"/>
                <w:sz w:val="24"/>
                <w:szCs w:val="24"/>
                <w:lang w:val="en-US" w:eastAsia="zh-CN" w:bidi="ar-SA"/>
              </w:rPr>
              <w:t>评审时仅以招标文件规定的投标关联文件作为评审依据；关联文件以外的投标文件若有不一致，以评委要求澄清后的内容为准，若未进行澄清，以对招标人有利的结果进行履约。</w:t>
            </w:r>
          </w:p>
        </w:tc>
      </w:tr>
      <w:tr w14:paraId="326B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2536189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907" w:type="dxa"/>
            <w:tcBorders>
              <w:right w:val="nil"/>
            </w:tcBorders>
            <w:shd w:val="clear" w:color="auto" w:fill="auto"/>
            <w:vAlign w:val="center"/>
          </w:tcPr>
          <w:p w14:paraId="39EE05A3">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color w:val="auto"/>
                <w:sz w:val="24"/>
                <w:szCs w:val="24"/>
                <w:lang w:val="en-US" w:eastAsia="zh-CN"/>
              </w:rPr>
              <w:t>中标人</w:t>
            </w:r>
          </w:p>
        </w:tc>
        <w:tc>
          <w:tcPr>
            <w:tcW w:w="6589" w:type="dxa"/>
            <w:tcBorders>
              <w:left w:val="nil"/>
            </w:tcBorders>
            <w:shd w:val="clear" w:color="auto" w:fill="auto"/>
            <w:vAlign w:val="center"/>
          </w:tcPr>
          <w:p w14:paraId="2C255A1A">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b w:val="0"/>
                <w:bCs w:val="0"/>
                <w:color w:val="auto"/>
                <w:kern w:val="0"/>
                <w:sz w:val="24"/>
                <w:szCs w:val="24"/>
                <w:lang w:val="en-US" w:eastAsia="zh-CN" w:bidi="ar-SA"/>
              </w:rPr>
            </w:pPr>
          </w:p>
        </w:tc>
      </w:tr>
      <w:tr w14:paraId="6D30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F56EAA5">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15.1</w:t>
            </w:r>
          </w:p>
        </w:tc>
        <w:tc>
          <w:tcPr>
            <w:tcW w:w="1907" w:type="dxa"/>
            <w:shd w:val="clear" w:color="auto" w:fill="auto"/>
            <w:vAlign w:val="center"/>
          </w:tcPr>
          <w:p w14:paraId="2AEB7AFE">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确定中标人</w:t>
            </w:r>
          </w:p>
        </w:tc>
        <w:tc>
          <w:tcPr>
            <w:tcW w:w="6589" w:type="dxa"/>
            <w:shd w:val="clear" w:color="auto" w:fill="auto"/>
            <w:vAlign w:val="center"/>
          </w:tcPr>
          <w:p w14:paraId="66C9AA44">
            <w:pPr>
              <w:keepNext w:val="0"/>
              <w:keepLines w:val="0"/>
              <w:pageBreakBefore w:val="0"/>
              <w:numPr>
                <w:ilvl w:val="0"/>
                <w:numId w:val="0"/>
              </w:numPr>
              <w:tabs>
                <w:tab w:val="left" w:pos="0"/>
              </w:tabs>
              <w:kinsoku/>
              <w:wordWrap/>
              <w:overflowPunct/>
              <w:topLinePunct w:val="0"/>
              <w:autoSpaceDE/>
              <w:autoSpaceDN/>
              <w:bidi w:val="0"/>
              <w:adjustRightInd/>
              <w:spacing w:line="500" w:lineRule="exact"/>
              <w:ind w:left="0" w:leftChars="0" w:firstLine="0" w:firstLineChars="0"/>
              <w:textAlignment w:val="auto"/>
              <w:rPr>
                <w:rFonts w:hint="eastAsia" w:ascii="仿宋" w:hAnsi="仿宋" w:eastAsia="仿宋" w:cs="仿宋"/>
                <w:bCs/>
                <w:color w:val="auto"/>
                <w:kern w:val="2"/>
                <w:sz w:val="24"/>
                <w:szCs w:val="24"/>
                <w:lang w:val="en-US" w:eastAsia="zh-CN" w:bidi="ar-SA"/>
              </w:rPr>
            </w:pPr>
            <w:r>
              <w:rPr>
                <w:rFonts w:hint="eastAsia" w:ascii="仿宋" w:hAnsi="仿宋" w:eastAsia="仿宋" w:cs="仿宋"/>
                <w:color w:val="auto"/>
                <w:kern w:val="0"/>
                <w:sz w:val="24"/>
                <w:szCs w:val="24"/>
                <w:lang w:val="en-US" w:eastAsia="zh-CN" w:bidi="ar-SA"/>
              </w:rPr>
              <w:t>采购人</w:t>
            </w:r>
          </w:p>
        </w:tc>
      </w:tr>
      <w:tr w14:paraId="2DA7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7C552007">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shd w:val="clear" w:color="auto" w:fill="auto"/>
            <w:vAlign w:val="center"/>
          </w:tcPr>
          <w:p w14:paraId="47055E3E">
            <w:pPr>
              <w:keepNext w:val="0"/>
              <w:keepLines w:val="0"/>
              <w:pageBreakBefore w:val="0"/>
              <w:kinsoku/>
              <w:overflowPunct/>
              <w:topLinePunct w:val="0"/>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中标人变更</w:t>
            </w:r>
          </w:p>
        </w:tc>
        <w:tc>
          <w:tcPr>
            <w:tcW w:w="6589" w:type="dxa"/>
            <w:shd w:val="clear" w:color="auto" w:fill="auto"/>
            <w:vAlign w:val="center"/>
          </w:tcPr>
          <w:p w14:paraId="5455C5EF">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中标人拒绝与采购人签订合同（或弃标），采购人可根据采购项目的实际情况，综合考虑递补供应商的经济性和效率等因素，自主确定是否重新开展采购活动或确定下一候选人为中标或者成交供应商。</w:t>
            </w:r>
          </w:p>
          <w:p w14:paraId="2ACFF8E9">
            <w:pPr>
              <w:keepNext w:val="0"/>
              <w:keepLines w:val="0"/>
              <w:pageBreakBefore w:val="0"/>
              <w:kinsoku/>
              <w:wordWrap/>
              <w:overflowPunct/>
              <w:topLinePunct w:val="0"/>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2.出现变更中标人的其他情形时，按照政府采购法及相关法律法规进行。</w:t>
            </w:r>
          </w:p>
          <w:p w14:paraId="6B24726C">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lang w:val="en-US" w:eastAsia="zh-CN"/>
              </w:rPr>
              <w:t>3.合同签订前，若</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人经营状况发生变化，</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人须及时向采购人说明情况，采购人认为</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人不具备履约能力，可取消其</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资格</w:t>
            </w:r>
            <w:r>
              <w:rPr>
                <w:rFonts w:hint="eastAsia" w:ascii="仿宋" w:hAnsi="仿宋" w:eastAsia="仿宋" w:cs="仿宋"/>
                <w:bCs/>
                <w:color w:val="auto"/>
                <w:sz w:val="24"/>
                <w:szCs w:val="24"/>
              </w:rPr>
              <w:t>。</w:t>
            </w:r>
          </w:p>
        </w:tc>
      </w:tr>
      <w:tr w14:paraId="0BAE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54C750F">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1907" w:type="dxa"/>
            <w:vAlign w:val="center"/>
          </w:tcPr>
          <w:p w14:paraId="16F8C80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b w:val="0"/>
                <w:bCs/>
                <w:color w:val="auto"/>
                <w:sz w:val="24"/>
                <w:szCs w:val="24"/>
              </w:rPr>
              <w:t>重新采购</w:t>
            </w:r>
          </w:p>
        </w:tc>
        <w:tc>
          <w:tcPr>
            <w:tcW w:w="6589" w:type="dxa"/>
            <w:vAlign w:val="center"/>
          </w:tcPr>
          <w:p w14:paraId="62B09C7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（1）出现影响采购公正的违法、违规行为的；</w:t>
            </w:r>
          </w:p>
          <w:p w14:paraId="68402D31">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（2）实质响应的供应商不足三家的；（经审批可采取其他采购方式的除外）</w:t>
            </w:r>
          </w:p>
          <w:p w14:paraId="5F85925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（3）所有供应商的报价均超出</w:t>
            </w:r>
            <w:r>
              <w:rPr>
                <w:rFonts w:hint="eastAsia" w:ascii="仿宋" w:hAnsi="仿宋" w:eastAsia="仿宋" w:cs="仿宋"/>
                <w:bCs/>
                <w:color w:val="auto"/>
                <w:sz w:val="24"/>
                <w:szCs w:val="24"/>
                <w:lang w:val="en-US" w:eastAsia="zh-CN"/>
              </w:rPr>
              <w:t>项目</w:t>
            </w:r>
            <w:r>
              <w:rPr>
                <w:rFonts w:hint="eastAsia" w:ascii="仿宋" w:hAnsi="仿宋" w:eastAsia="仿宋" w:cs="仿宋"/>
                <w:color w:val="auto"/>
                <w:sz w:val="24"/>
                <w:szCs w:val="24"/>
                <w:lang w:val="en-US" w:eastAsia="zh-CN"/>
              </w:rPr>
              <w:t>预算金额或最高限价，采购人不能支付的；</w:t>
            </w:r>
          </w:p>
          <w:p w14:paraId="761854DD">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（4）项目发生重大变更；</w:t>
            </w:r>
          </w:p>
          <w:p w14:paraId="22E1DBC0">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（5）法律法规和招标文件规定的其他情形。</w:t>
            </w:r>
          </w:p>
        </w:tc>
      </w:tr>
      <w:tr w14:paraId="1FA4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2915E0FB">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vAlign w:val="center"/>
          </w:tcPr>
          <w:p w14:paraId="12031FA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无效标</w:t>
            </w:r>
          </w:p>
        </w:tc>
        <w:tc>
          <w:tcPr>
            <w:tcW w:w="6589" w:type="dxa"/>
            <w:vAlign w:val="center"/>
          </w:tcPr>
          <w:p w14:paraId="677B78C5">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投标文件出现下列情形之一为无效投标：</w:t>
            </w:r>
          </w:p>
          <w:p w14:paraId="713772D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14:paraId="2E8BDDEE">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14:paraId="3CDD3D80">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14:paraId="1F60C174">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14:paraId="70EAE103">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5.未从合法正规渠道（指本项目代理机构和本项目公告发布网站）获取招标资料。</w:t>
            </w:r>
          </w:p>
          <w:p w14:paraId="6717C29F">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6.投标</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14:paraId="0003F518">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7.招标文件及法律法规规定的其他无效情形。</w:t>
            </w:r>
          </w:p>
        </w:tc>
      </w:tr>
      <w:tr w14:paraId="25F2F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4848209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w:t>
            </w:r>
          </w:p>
        </w:tc>
        <w:tc>
          <w:tcPr>
            <w:tcW w:w="1907" w:type="dxa"/>
            <w:tcBorders>
              <w:right w:val="nil"/>
            </w:tcBorders>
            <w:shd w:val="clear" w:color="auto" w:fill="auto"/>
            <w:vAlign w:val="center"/>
          </w:tcPr>
          <w:p w14:paraId="0AA78798">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履约验收</w:t>
            </w:r>
          </w:p>
        </w:tc>
        <w:tc>
          <w:tcPr>
            <w:tcW w:w="6589" w:type="dxa"/>
            <w:tcBorders>
              <w:left w:val="nil"/>
            </w:tcBorders>
            <w:vAlign w:val="center"/>
          </w:tcPr>
          <w:p w14:paraId="705A06D5">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246C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683EC878">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18.1</w:t>
            </w:r>
          </w:p>
        </w:tc>
        <w:tc>
          <w:tcPr>
            <w:tcW w:w="1907" w:type="dxa"/>
            <w:shd w:val="clear" w:color="auto" w:fill="auto"/>
            <w:vAlign w:val="center"/>
          </w:tcPr>
          <w:p w14:paraId="76A2358C">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履约争议或违约</w:t>
            </w:r>
          </w:p>
        </w:tc>
        <w:tc>
          <w:tcPr>
            <w:tcW w:w="6589" w:type="dxa"/>
            <w:shd w:val="clear" w:color="auto" w:fill="auto"/>
            <w:vAlign w:val="center"/>
          </w:tcPr>
          <w:p w14:paraId="6E752774">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供应商在合同履行过程中出现争议或违约时，采购人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报告财政管理部门，按采购合同、政府采购法及相关法律法规、民法典等的规定协商处理或追究违约方责任。</w:t>
            </w:r>
          </w:p>
        </w:tc>
      </w:tr>
      <w:tr w14:paraId="0142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409C09A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18.2</w:t>
            </w:r>
          </w:p>
        </w:tc>
        <w:tc>
          <w:tcPr>
            <w:tcW w:w="1907" w:type="dxa"/>
            <w:shd w:val="clear" w:color="auto" w:fill="auto"/>
            <w:vAlign w:val="center"/>
          </w:tcPr>
          <w:p w14:paraId="41DF6CD7">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履约验收主体</w:t>
            </w:r>
          </w:p>
        </w:tc>
        <w:tc>
          <w:tcPr>
            <w:tcW w:w="6589" w:type="dxa"/>
            <w:shd w:val="clear" w:color="auto" w:fill="auto"/>
            <w:vAlign w:val="center"/>
          </w:tcPr>
          <w:p w14:paraId="1131EB15">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default"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val="en-US" w:eastAsia="zh-CN"/>
              </w:rPr>
              <w:t>或其委托的第三方</w:t>
            </w:r>
            <w:r>
              <w:rPr>
                <w:rFonts w:hint="default" w:ascii="仿宋" w:hAnsi="仿宋" w:eastAsia="仿宋" w:cs="仿宋"/>
                <w:color w:val="auto"/>
                <w:sz w:val="24"/>
                <w:szCs w:val="24"/>
                <w:highlight w:val="none"/>
                <w:lang w:val="en-US" w:eastAsia="zh-CN"/>
              </w:rPr>
              <w:t>应当及时对采购项目进行</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验收（终验收）。验收时采购人可以邀请参加本项目的其他</w:t>
            </w:r>
            <w:r>
              <w:rPr>
                <w:rFonts w:hint="eastAsia" w:ascii="仿宋" w:hAnsi="仿宋" w:eastAsia="仿宋" w:cs="仿宋"/>
                <w:color w:val="auto"/>
                <w:sz w:val="24"/>
                <w:szCs w:val="24"/>
                <w:highlight w:val="none"/>
                <w:lang w:val="en-US" w:eastAsia="zh-CN"/>
              </w:rPr>
              <w:t>供应商</w:t>
            </w:r>
            <w:r>
              <w:rPr>
                <w:rFonts w:hint="default" w:ascii="仿宋" w:hAnsi="仿宋" w:eastAsia="仿宋" w:cs="仿宋"/>
                <w:color w:val="auto"/>
                <w:sz w:val="24"/>
                <w:szCs w:val="24"/>
                <w:highlight w:val="none"/>
                <w:lang w:val="en-US" w:eastAsia="zh-CN"/>
              </w:rPr>
              <w:t>或者专家参与</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验收意见作为验收报告的参考资料一并存档。</w:t>
            </w:r>
          </w:p>
        </w:tc>
      </w:tr>
      <w:tr w14:paraId="5B33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6E9BB50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18.3</w:t>
            </w:r>
          </w:p>
        </w:tc>
        <w:tc>
          <w:tcPr>
            <w:tcW w:w="1907" w:type="dxa"/>
            <w:shd w:val="clear" w:color="auto" w:fill="auto"/>
            <w:vAlign w:val="center"/>
          </w:tcPr>
          <w:p w14:paraId="6A4EA1F7">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履约验收依据</w:t>
            </w:r>
          </w:p>
        </w:tc>
        <w:tc>
          <w:tcPr>
            <w:tcW w:w="6589" w:type="dxa"/>
            <w:shd w:val="clear" w:color="auto" w:fill="auto"/>
            <w:vAlign w:val="center"/>
          </w:tcPr>
          <w:p w14:paraId="3CEE5B2E">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highlight w:val="yellow"/>
                <w:lang w:val="en-US" w:eastAsia="zh-CN" w:bidi="ar-SA"/>
              </w:rPr>
            </w:pPr>
            <w:r>
              <w:rPr>
                <w:rFonts w:hint="eastAsia" w:ascii="仿宋" w:hAnsi="仿宋" w:eastAsia="仿宋" w:cs="仿宋"/>
                <w:color w:val="auto"/>
                <w:sz w:val="24"/>
                <w:szCs w:val="24"/>
                <w:highlight w:val="none"/>
                <w:lang w:val="en-US" w:eastAsia="zh-CN"/>
              </w:rPr>
              <w:t>履约验收主体应当按照采购合同规定的标的、技术、标准、服务内容、质量和安全等要求，组织对供应商履约情况进行验收，并出具验收报告。验收报告包括：技术、服务、安全标准等的履约情况。</w:t>
            </w:r>
          </w:p>
        </w:tc>
      </w:tr>
      <w:tr w14:paraId="10A7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345095E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18.4</w:t>
            </w:r>
          </w:p>
        </w:tc>
        <w:tc>
          <w:tcPr>
            <w:tcW w:w="1907" w:type="dxa"/>
            <w:shd w:val="clear" w:color="auto" w:fill="auto"/>
            <w:vAlign w:val="center"/>
          </w:tcPr>
          <w:p w14:paraId="6AAD383A">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履约验收标准</w:t>
            </w:r>
          </w:p>
        </w:tc>
        <w:tc>
          <w:tcPr>
            <w:tcW w:w="6589" w:type="dxa"/>
            <w:shd w:val="clear" w:color="auto" w:fill="auto"/>
            <w:vAlign w:val="center"/>
          </w:tcPr>
          <w:p w14:paraId="67404EA4">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达到招标文件依据的国家、行业相关标准规范，满足采购要求。</w:t>
            </w:r>
          </w:p>
        </w:tc>
      </w:tr>
      <w:tr w14:paraId="1955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5EB27BA2">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p>
        </w:tc>
        <w:tc>
          <w:tcPr>
            <w:tcW w:w="1907" w:type="dxa"/>
            <w:tcBorders>
              <w:right w:val="nil"/>
            </w:tcBorders>
            <w:vAlign w:val="center"/>
          </w:tcPr>
          <w:p w14:paraId="77C304E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6589" w:type="dxa"/>
            <w:tcBorders>
              <w:left w:val="nil"/>
            </w:tcBorders>
            <w:vAlign w:val="center"/>
          </w:tcPr>
          <w:p w14:paraId="4A54265F">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14:paraId="50D1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4D6F02F3">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highlight w:val="none"/>
                <w:lang w:val="en-US" w:eastAsia="zh-CN"/>
              </w:rPr>
              <w:t>.1</w:t>
            </w:r>
          </w:p>
        </w:tc>
        <w:tc>
          <w:tcPr>
            <w:tcW w:w="1907" w:type="dxa"/>
            <w:vAlign w:val="center"/>
          </w:tcPr>
          <w:p w14:paraId="61BCFE54">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招标文件解释权</w:t>
            </w:r>
          </w:p>
        </w:tc>
        <w:tc>
          <w:tcPr>
            <w:tcW w:w="6589" w:type="dxa"/>
            <w:vAlign w:val="center"/>
          </w:tcPr>
          <w:p w14:paraId="084672E9">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招标文件的自主理解、推测、主观认为、随意臆造等造成的不利后果自负。</w:t>
            </w:r>
          </w:p>
        </w:tc>
      </w:tr>
      <w:tr w14:paraId="0725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09B14DE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19.2</w:t>
            </w:r>
          </w:p>
        </w:tc>
        <w:tc>
          <w:tcPr>
            <w:tcW w:w="1907" w:type="dxa"/>
            <w:shd w:val="clear" w:color="auto" w:fill="auto"/>
            <w:vAlign w:val="center"/>
          </w:tcPr>
          <w:p w14:paraId="49C0089C">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符号含义</w:t>
            </w:r>
          </w:p>
        </w:tc>
        <w:tc>
          <w:tcPr>
            <w:tcW w:w="6589" w:type="dxa"/>
            <w:shd w:val="clear" w:color="auto" w:fill="auto"/>
            <w:vAlign w:val="center"/>
          </w:tcPr>
          <w:p w14:paraId="278EBC91">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“★”为实质性条款；“▲”为重要参数；</w:t>
            </w:r>
            <w:r>
              <w:rPr>
                <w:rFonts w:hint="eastAsia" w:ascii="仿宋" w:hAnsi="仿宋" w:eastAsia="仿宋" w:cs="仿宋"/>
                <w:color w:val="auto"/>
                <w:sz w:val="24"/>
                <w:szCs w:val="24"/>
                <w:lang w:val="en-US" w:eastAsia="zh-CN"/>
              </w:rPr>
              <w:t>“</w:t>
            </w:r>
            <w:r>
              <w:rPr>
                <w:rFonts w:hint="eastAsia" w:ascii="仿宋" w:hAnsi="仿宋" w:eastAsia="仿宋" w:cs="仿宋"/>
                <w:b/>
                <w:bCs/>
                <w:color w:val="auto"/>
                <w:sz w:val="24"/>
                <w:szCs w:val="24"/>
                <w:lang w:val="en-US" w:eastAsia="zh-CN"/>
              </w:rPr>
              <w:t>＃</w:t>
            </w:r>
            <w:r>
              <w:rPr>
                <w:rFonts w:hint="eastAsia" w:ascii="仿宋" w:hAnsi="仿宋" w:eastAsia="仿宋" w:cs="仿宋"/>
                <w:color w:val="auto"/>
                <w:sz w:val="24"/>
                <w:szCs w:val="24"/>
                <w:lang w:val="en-US" w:eastAsia="zh-CN"/>
              </w:rPr>
              <w:t>”为核心产品</w:t>
            </w:r>
            <w:r>
              <w:rPr>
                <w:rFonts w:hint="eastAsia" w:ascii="仿宋" w:hAnsi="仿宋" w:eastAsia="仿宋" w:cs="仿宋"/>
                <w:color w:val="auto"/>
                <w:sz w:val="24"/>
                <w:szCs w:val="24"/>
                <w:highlight w:val="none"/>
                <w:lang w:val="en-US" w:eastAsia="zh-CN"/>
              </w:rPr>
              <w:t>。</w:t>
            </w:r>
          </w:p>
        </w:tc>
      </w:tr>
      <w:tr w14:paraId="5150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3C8CCF59">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.3</w:t>
            </w:r>
          </w:p>
        </w:tc>
        <w:tc>
          <w:tcPr>
            <w:tcW w:w="1907" w:type="dxa"/>
            <w:shd w:val="clear" w:color="auto" w:fill="auto"/>
            <w:vAlign w:val="center"/>
          </w:tcPr>
          <w:p w14:paraId="49480968">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6589" w:type="dxa"/>
            <w:shd w:val="clear" w:color="auto" w:fill="auto"/>
            <w:vAlign w:val="center"/>
          </w:tcPr>
          <w:p w14:paraId="3BCECF26">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供应商/中标人在投标或履约过程中，应严格遵守诚信原则与全面履约义务。对于招标或履约中质量、技术等约定不明确的，除按国家强制性标准、推荐性标准、地方标准执行外，还应履行以实现合同目的和功能所必需的符合行业标准的组成部分。</w:t>
            </w:r>
          </w:p>
          <w:p w14:paraId="265445FF">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本招标文件所拟订的技术为基本/主要技术要求，并未对一切技术细节做出规定，也未充分引述有关标准和规范条文，供应商所提供的服务、货物、性能和功能应不低于本文件条款的要求，并应按本招标文件的要求提交符合本技术要求规定及与项目有关的完整的技术方案。</w:t>
            </w:r>
          </w:p>
          <w:p w14:paraId="7FB2CC53">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3.供应商必须保证所提供货物、服务等的质量满足国家或行业现行法律法规（含强制要求）及相关规章和招标要求，并且承担所有在合同中指定的责任和义务。</w:t>
            </w:r>
          </w:p>
          <w:p w14:paraId="6731688D">
            <w:pPr>
              <w:keepNext w:val="0"/>
              <w:keepLines w:val="0"/>
              <w:pageBreakBefore w:val="0"/>
              <w:kinsoku/>
              <w:wordWrap/>
              <w:overflowPunct/>
              <w:topLinePunct w:val="0"/>
              <w:autoSpaceDE/>
              <w:autoSpaceDN/>
              <w:bidi w:val="0"/>
              <w:adjustRightInd/>
              <w:spacing w:beforeAutospacing="0" w:afterAutospacing="0" w:line="500" w:lineRule="exact"/>
              <w:jc w:val="both"/>
              <w:rPr>
                <w:rFonts w:hint="default"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4.供应商拟提供的产品须是成熟的、市场供应充足的、能保证正常履约的。中标后中标人不能以任何理由对投标做实质性的修改（如更换品牌、减少配置、改变性能功能、变更价格、减少数量以及服务标准等），导致采购人与中标人之间权利义务发生重大变化。若确实需要变更，则由采购人上报监管部门审批，依法进行处理。</w:t>
            </w:r>
          </w:p>
        </w:tc>
      </w:tr>
      <w:tr w14:paraId="627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099A65CC">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19.4</w:t>
            </w:r>
          </w:p>
        </w:tc>
        <w:tc>
          <w:tcPr>
            <w:tcW w:w="1907" w:type="dxa"/>
            <w:shd w:val="clear" w:color="auto" w:fill="auto"/>
            <w:vAlign w:val="center"/>
          </w:tcPr>
          <w:p w14:paraId="553A717B">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6589" w:type="dxa"/>
            <w:shd w:val="clear" w:color="auto" w:fill="auto"/>
            <w:vAlign w:val="center"/>
          </w:tcPr>
          <w:p w14:paraId="176552DA">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无中生有、伪造、篡改或变造、涂改的各种证件、证书、资料文件、与客观事实不相符的委托书、授权书或承诺函等。"虚假材料"中的"虚假"是指材料的真实性而非有效性，虚假材料不能等同于无效材料。</w:t>
            </w:r>
          </w:p>
          <w:p w14:paraId="6691F65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14:paraId="604D959F">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14:paraId="70601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0B35D9D0">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19.5</w:t>
            </w:r>
          </w:p>
        </w:tc>
        <w:tc>
          <w:tcPr>
            <w:tcW w:w="1907" w:type="dxa"/>
            <w:shd w:val="clear" w:color="auto" w:fill="auto"/>
            <w:vAlign w:val="center"/>
          </w:tcPr>
          <w:p w14:paraId="0C62F911">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6589" w:type="dxa"/>
            <w:shd w:val="clear" w:color="auto" w:fill="auto"/>
            <w:vAlign w:val="center"/>
          </w:tcPr>
          <w:p w14:paraId="54A572E7">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真实存在，但不符合招标文件相关要求的文件资料。</w:t>
            </w:r>
          </w:p>
        </w:tc>
      </w:tr>
      <w:tr w14:paraId="3E76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3821BCD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19.6</w:t>
            </w:r>
          </w:p>
        </w:tc>
        <w:tc>
          <w:tcPr>
            <w:tcW w:w="1907" w:type="dxa"/>
            <w:shd w:val="clear" w:color="auto" w:fill="auto"/>
            <w:vAlign w:val="center"/>
          </w:tcPr>
          <w:p w14:paraId="72746DC9">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串标情形中的“文件异常一致”</w:t>
            </w:r>
          </w:p>
        </w:tc>
        <w:tc>
          <w:tcPr>
            <w:tcW w:w="6589" w:type="dxa"/>
            <w:shd w:val="clear" w:color="auto" w:fill="auto"/>
            <w:vAlign w:val="center"/>
          </w:tcPr>
          <w:p w14:paraId="4B52CCCA">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指极小概率或者完全不可能一致的内容（核心内容、文件结构、格式等）在不同投标文件中同时出现（如</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文件错误的内容雷同或打印错误的内容雷同；由供应商自行编制的格式或自行编写的方案异常一致；属于某一供应商特有的业绩、编号、标识等在其他</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文件中同时出现等情形）。</w:t>
            </w:r>
          </w:p>
        </w:tc>
      </w:tr>
      <w:tr w14:paraId="55AC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3078F6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19.7</w:t>
            </w:r>
          </w:p>
        </w:tc>
        <w:tc>
          <w:tcPr>
            <w:tcW w:w="1907" w:type="dxa"/>
            <w:shd w:val="clear" w:color="auto" w:fill="auto"/>
            <w:vAlign w:val="center"/>
          </w:tcPr>
          <w:p w14:paraId="0DD39565">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串标情形中的“文件相互混装”</w:t>
            </w:r>
          </w:p>
        </w:tc>
        <w:tc>
          <w:tcPr>
            <w:tcW w:w="6589" w:type="dxa"/>
            <w:shd w:val="clear" w:color="auto" w:fill="auto"/>
            <w:vAlign w:val="center"/>
          </w:tcPr>
          <w:p w14:paraId="0E3368CE">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指一家投标文件中装有本项目其他单位（指提交了投标文件的单位）的投标资料即为混装（并非仅指双方互有混装的情形）。</w:t>
            </w:r>
          </w:p>
        </w:tc>
      </w:tr>
      <w:tr w14:paraId="6E68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20D6A64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19.8</w:t>
            </w:r>
          </w:p>
        </w:tc>
        <w:tc>
          <w:tcPr>
            <w:tcW w:w="1907" w:type="dxa"/>
            <w:shd w:val="clear" w:color="auto" w:fill="auto"/>
            <w:vAlign w:val="center"/>
          </w:tcPr>
          <w:p w14:paraId="6286B0DD">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串标情形中的“报价规律性”</w:t>
            </w:r>
          </w:p>
        </w:tc>
        <w:tc>
          <w:tcPr>
            <w:tcW w:w="6589" w:type="dxa"/>
            <w:shd w:val="clear" w:color="auto" w:fill="auto"/>
            <w:vAlign w:val="center"/>
          </w:tcPr>
          <w:p w14:paraId="0659152F">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指投标报价呈现等差或等比数列趋势变化；分项报价完全一致或某些分项价格呈现规律性提高或降低等情形。</w:t>
            </w:r>
          </w:p>
        </w:tc>
      </w:tr>
      <w:tr w14:paraId="100B4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51C5CAA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19.9</w:t>
            </w:r>
          </w:p>
        </w:tc>
        <w:tc>
          <w:tcPr>
            <w:tcW w:w="1907" w:type="dxa"/>
            <w:shd w:val="clear" w:color="auto" w:fill="auto"/>
            <w:vAlign w:val="center"/>
          </w:tcPr>
          <w:p w14:paraId="0A63A3D0">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6589" w:type="dxa"/>
            <w:shd w:val="clear" w:color="auto" w:fill="auto"/>
            <w:vAlign w:val="center"/>
          </w:tcPr>
          <w:p w14:paraId="604E9B06">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投标使用的单位印章均指电子签章。</w:t>
            </w:r>
          </w:p>
        </w:tc>
      </w:tr>
      <w:tr w14:paraId="363E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1B2F98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.10</w:t>
            </w:r>
          </w:p>
        </w:tc>
        <w:tc>
          <w:tcPr>
            <w:tcW w:w="1907" w:type="dxa"/>
            <w:shd w:val="clear" w:color="auto" w:fill="auto"/>
            <w:vAlign w:val="center"/>
          </w:tcPr>
          <w:p w14:paraId="2928E7AD">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投标费用、风险</w:t>
            </w:r>
          </w:p>
        </w:tc>
        <w:tc>
          <w:tcPr>
            <w:tcW w:w="6589" w:type="dxa"/>
            <w:shd w:val="clear" w:color="auto" w:fill="auto"/>
            <w:vAlign w:val="center"/>
          </w:tcPr>
          <w:p w14:paraId="37B67843">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ind w:left="0" w:leftChars="0" w:firstLine="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无论投标结果如何，供应商应自行承担参与本项目发生的所有费用和应担风险。</w:t>
            </w:r>
          </w:p>
        </w:tc>
      </w:tr>
      <w:tr w14:paraId="0D18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59FF5CA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.11</w:t>
            </w:r>
          </w:p>
        </w:tc>
        <w:tc>
          <w:tcPr>
            <w:tcW w:w="1907" w:type="dxa"/>
            <w:shd w:val="clear" w:color="auto" w:fill="auto"/>
            <w:vAlign w:val="center"/>
          </w:tcPr>
          <w:p w14:paraId="631D35E4">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正当理由</w:t>
            </w:r>
          </w:p>
        </w:tc>
        <w:tc>
          <w:tcPr>
            <w:tcW w:w="6589" w:type="dxa"/>
            <w:shd w:val="clear" w:color="auto" w:fill="auto"/>
            <w:vAlign w:val="center"/>
          </w:tcPr>
          <w:p w14:paraId="365953E7">
            <w:pPr>
              <w:keepNext w:val="0"/>
              <w:keepLines w:val="0"/>
              <w:pageBreakBefore w:val="0"/>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14:paraId="10572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shd w:val="clear" w:color="auto" w:fill="auto"/>
            <w:vAlign w:val="center"/>
          </w:tcPr>
          <w:p w14:paraId="6E5AD3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.12</w:t>
            </w:r>
          </w:p>
        </w:tc>
        <w:tc>
          <w:tcPr>
            <w:tcW w:w="1907" w:type="dxa"/>
            <w:shd w:val="clear" w:color="auto" w:fill="auto"/>
            <w:vAlign w:val="center"/>
          </w:tcPr>
          <w:p w14:paraId="5BF2AEC3">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商业秘密</w:t>
            </w:r>
          </w:p>
        </w:tc>
        <w:tc>
          <w:tcPr>
            <w:tcW w:w="6589" w:type="dxa"/>
            <w:shd w:val="clear" w:color="auto" w:fill="auto"/>
            <w:vAlign w:val="center"/>
          </w:tcPr>
          <w:p w14:paraId="787ABC7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投标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根据招标文件的要求编制的，具有独特、个性的特征，并具有实用性，能为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14:paraId="3EBCB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1191B50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.13</w:t>
            </w:r>
          </w:p>
        </w:tc>
        <w:tc>
          <w:tcPr>
            <w:tcW w:w="1907" w:type="dxa"/>
            <w:shd w:val="clear" w:color="auto" w:fill="auto"/>
            <w:vAlign w:val="center"/>
          </w:tcPr>
          <w:p w14:paraId="5702D681">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保密</w:t>
            </w:r>
          </w:p>
        </w:tc>
        <w:tc>
          <w:tcPr>
            <w:tcW w:w="6589" w:type="dxa"/>
            <w:shd w:val="clear" w:color="auto" w:fill="auto"/>
            <w:vAlign w:val="center"/>
          </w:tcPr>
          <w:p w14:paraId="0F00BD4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w:t>
            </w:r>
            <w:r>
              <w:rPr>
                <w:rFonts w:hint="eastAsia" w:ascii="仿宋" w:hAnsi="仿宋" w:eastAsia="仿宋" w:cs="仿宋"/>
                <w:strike w:val="0"/>
                <w:dstrike w:val="0"/>
                <w:color w:val="auto"/>
                <w:sz w:val="24"/>
                <w:szCs w:val="24"/>
                <w:highlight w:val="none"/>
                <w:lang w:val="en-US" w:eastAsia="zh-CN"/>
              </w:rPr>
              <w:t>招标</w:t>
            </w:r>
            <w:r>
              <w:rPr>
                <w:rFonts w:hint="eastAsia" w:ascii="仿宋" w:hAnsi="仿宋" w:eastAsia="仿宋" w:cs="仿宋"/>
                <w:color w:val="auto"/>
                <w:sz w:val="24"/>
                <w:szCs w:val="24"/>
                <w:highlight w:val="none"/>
                <w:lang w:val="en-US" w:eastAsia="zh-CN"/>
              </w:rPr>
              <w:t>资料，均应对招投标文件中的商业和技术等内容进行保密，违者承担法律责任。</w:t>
            </w:r>
          </w:p>
        </w:tc>
      </w:tr>
      <w:tr w14:paraId="5D7F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0" w:type="dxa"/>
            <w:vAlign w:val="center"/>
          </w:tcPr>
          <w:p w14:paraId="232EF37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w:t>
            </w:r>
          </w:p>
        </w:tc>
        <w:tc>
          <w:tcPr>
            <w:tcW w:w="1907" w:type="dxa"/>
            <w:vAlign w:val="center"/>
          </w:tcPr>
          <w:p w14:paraId="7BC3DD85">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6589" w:type="dxa"/>
            <w:vAlign w:val="center"/>
          </w:tcPr>
          <w:p w14:paraId="3E3FC95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14:paraId="22AE03BD">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2.文中“自....之日起”，不包含当日，以下一日开始计算。</w:t>
            </w:r>
          </w:p>
          <w:p w14:paraId="30C0130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3.若非特别说明，“日”等同“日历日”或“天”。</w:t>
            </w:r>
          </w:p>
        </w:tc>
      </w:tr>
    </w:tbl>
    <w:p w14:paraId="06B3F9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D35ED"/>
    <w:rsid w:val="050D3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2026-01-12T08:09:00Z</dcterms:created>
  <dc:creator>左左</dc:creator>
  <cp:lastModifiedBy>左左</cp:lastModifiedBy>
  <dcterms:modified xsi:type="dcterms:W3CDTF">2026-01-12T08:09:29Z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AA6E0EB5F59E4BF3814616BB69275C41_11</vt:lpwstr>
  </property>
  <property fmtid="{D5CDD505-2E9C-101B-9397-08002B2CF9AE}" pid="4" name="KSOTemplateDocerSaveRecord">
    <vt:lpwstr>eyJoZGlkIjoiYjgzZjBlMWFiY2UyYjQ1NWYwYWI5MjNkODI5ZDljOGYiLCJ1c2VySWQiOiI1NzY5ODc4MzkifQ==</vt:lpwstr>
  </property>
</Properties>
</file>