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版本号：CZCZFB(2026)GWCYW-120260123002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陕西省公务用车管理监督平台(澄城运维服务项目)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CZCZFB(2026)GWCYW-1</w:t>
      </w:r>
      <w:r>
        <w:br/>
      </w:r>
      <w:r>
        <w:br/>
      </w:r>
      <w:r>
        <w:br/>
      </w:r>
    </w:p>
    <w:p>
      <w:pPr>
        <w:pStyle w:val="null3"/>
        <w:jc w:val="center"/>
        <w:outlineLvl w:val="5"/>
      </w:pPr>
      <w:r>
        <w:rPr>
          <w:rFonts w:ascii="仿宋_GB2312" w:hAnsi="仿宋_GB2312" w:cs="仿宋_GB2312" w:eastAsia="仿宋_GB2312"/>
          <w:sz w:val="15"/>
          <w:b/>
        </w:rPr>
        <w:t>澄城县人民政府办公室</w:t>
      </w:r>
    </w:p>
    <w:p>
      <w:pPr>
        <w:pStyle w:val="null3"/>
        <w:jc w:val="center"/>
        <w:outlineLvl w:val="5"/>
      </w:pPr>
      <w:r>
        <w:rPr>
          <w:rFonts w:ascii="仿宋_GB2312" w:hAnsi="仿宋_GB2312" w:cs="仿宋_GB2312" w:eastAsia="仿宋_GB2312"/>
          <w:sz w:val="15"/>
          <w:b/>
        </w:rPr>
        <w:t>澄城县政府采购中心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澄城县人民政府办公室</w:t>
      </w:r>
      <w:r>
        <w:rPr>
          <w:rFonts w:ascii="仿宋_GB2312" w:hAnsi="仿宋_GB2312" w:cs="仿宋_GB2312" w:eastAsia="仿宋_GB2312"/>
        </w:rPr>
        <w:t>委托，拟对</w:t>
      </w:r>
      <w:r>
        <w:rPr>
          <w:rFonts w:ascii="仿宋_GB2312" w:hAnsi="仿宋_GB2312" w:cs="仿宋_GB2312" w:eastAsia="仿宋_GB2312"/>
        </w:rPr>
        <w:t>陕西省公务用车管理监督平台(澄城运维服务项目)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CZCZFB(2026)GWCYW-1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陕西省公务用车管理监督平台(澄城运维服务项目)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保障平台硬件、通信及云资源稳定运行，提升平台安全与数据管理水平，规范公务用车管理流程，提升管理效率推动用车管理数字化发展。</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采购包1（陕西省公务用车管理监督平台(澄城运维服务项目)）：属于专门面向中小企业采购。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9、非联合体投标：本项目不接受联合体投标。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澄城县宝塔路中段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13891464399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澄城县人民政府办公室</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澄城县人民政府办公室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1.服务期满后，采购人根据招标文件及相关要求，进行验收，确认服务标准和服务方式是否达到采购要求。 2.服务商向采购人提供服务过程中的所有资料,以便采购人日后管理。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澄城县人民政府办公室</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澄城县人民政府办公室</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澄城县人民政府办公室</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保障平台硬件、通信及云资源稳定运行，提升平台安全与数据管理水平，规范公务用车管理流程，提升管理效率推动用车管理数字化发展。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陕西省公务用车管理监督平台(澄城运维服务项目)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标的名称：陕西省公务用车管理监督平台(澄城运维服务项目)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一、服务指标的具体要求</w:t>
            </w:r>
          </w:p>
          <w:p>
            <w:pPr>
              <w:pStyle w:val="null3"/>
              <w:ind w:firstLine="480"/>
              <w:jc w:val="both"/>
            </w:pPr>
            <w:r>
              <w:rPr>
                <w:rFonts w:ascii="仿宋_GB2312" w:hAnsi="仿宋_GB2312" w:cs="仿宋_GB2312" w:eastAsia="仿宋_GB2312"/>
                <w:sz w:val="32"/>
                <w:b/>
              </w:rPr>
              <w:t>1、项目背景</w:t>
            </w:r>
            <w:r>
              <w:rPr>
                <w:rFonts w:ascii="仿宋_GB2312" w:hAnsi="仿宋_GB2312" w:cs="仿宋_GB2312" w:eastAsia="仿宋_GB2312"/>
                <w:sz w:val="32"/>
              </w:rPr>
              <w:t>：</w:t>
            </w:r>
          </w:p>
          <w:p>
            <w:pPr>
              <w:pStyle w:val="null3"/>
              <w:ind w:firstLine="480"/>
              <w:jc w:val="both"/>
            </w:pPr>
            <w:r>
              <w:rPr>
                <w:rFonts w:ascii="仿宋_GB2312" w:hAnsi="仿宋_GB2312" w:cs="仿宋_GB2312" w:eastAsia="仿宋_GB2312"/>
                <w:sz w:val="32"/>
              </w:rPr>
              <w:t>中央车改办连续印发《关于进一步加强公务用车平台建设的通知》、《关于完善配套政策持续巩固公车改革成果的通知》、《关于加快公车改革取消车辆处置工作的通知》，要求各级地方政府建设车辆管理平台。</w:t>
            </w:r>
          </w:p>
          <w:p>
            <w:pPr>
              <w:pStyle w:val="null3"/>
              <w:ind w:firstLine="480"/>
              <w:jc w:val="both"/>
            </w:pPr>
            <w:r>
              <w:rPr>
                <w:rFonts w:ascii="仿宋_GB2312" w:hAnsi="仿宋_GB2312" w:cs="仿宋_GB2312" w:eastAsia="仿宋_GB2312"/>
                <w:sz w:val="32"/>
              </w:rPr>
              <w:t>为落实中改办指示，保障全</w:t>
            </w:r>
            <w:r>
              <w:rPr>
                <w:rFonts w:ascii="仿宋_GB2312" w:hAnsi="仿宋_GB2312" w:cs="仿宋_GB2312" w:eastAsia="仿宋_GB2312"/>
                <w:sz w:val="32"/>
              </w:rPr>
              <w:t>县</w:t>
            </w:r>
            <w:r>
              <w:rPr>
                <w:rFonts w:ascii="仿宋_GB2312" w:hAnsi="仿宋_GB2312" w:cs="仿宋_GB2312" w:eastAsia="仿宋_GB2312"/>
                <w:sz w:val="32"/>
              </w:rPr>
              <w:t>各部门正常的公务出行，政府单位公务车需实行集中统一管理，实现</w:t>
            </w:r>
            <w:r>
              <w:rPr>
                <w:rFonts w:ascii="仿宋_GB2312" w:hAnsi="仿宋_GB2312" w:cs="仿宋_GB2312" w:eastAsia="仿宋_GB2312"/>
                <w:sz w:val="32"/>
              </w:rPr>
              <w:t>“管理平台化、平台信息化、车辆标识化”，建立统一管理模式，做到“便捷派车、高效用车、透明管车、有效督车”。在此背景下，</w:t>
            </w:r>
            <w:r>
              <w:rPr>
                <w:rFonts w:ascii="仿宋_GB2312" w:hAnsi="仿宋_GB2312" w:cs="仿宋_GB2312" w:eastAsia="仿宋_GB2312"/>
                <w:sz w:val="32"/>
              </w:rPr>
              <w:t>澄城县</w:t>
            </w:r>
            <w:r>
              <w:rPr>
                <w:rFonts w:ascii="仿宋_GB2312" w:hAnsi="仿宋_GB2312" w:cs="仿宋_GB2312" w:eastAsia="仿宋_GB2312"/>
                <w:sz w:val="32"/>
              </w:rPr>
              <w:t>公务用车信息化平台服务项目按照中省车改办文件精神，将车改后保留车辆纳入统一平台管理，以满足公务用车信息化平台自身管理的要求和</w:t>
            </w:r>
            <w:r>
              <w:rPr>
                <w:rFonts w:ascii="仿宋_GB2312" w:hAnsi="仿宋_GB2312" w:cs="仿宋_GB2312" w:eastAsia="仿宋_GB2312"/>
                <w:sz w:val="32"/>
              </w:rPr>
              <w:t>“全市一张网”的需求，同时又保证满足与陕西省现有系统软件平台的无缝对接和硬件设备的融合，数据互联互通，以达到省市级文件“全省一张网”、“全市一张网”建设精神要求。</w:t>
            </w:r>
          </w:p>
          <w:p>
            <w:pPr>
              <w:pStyle w:val="null3"/>
              <w:ind w:firstLine="602"/>
              <w:jc w:val="left"/>
            </w:pPr>
            <w:r>
              <w:rPr>
                <w:rFonts w:ascii="仿宋_GB2312" w:hAnsi="仿宋_GB2312" w:cs="仿宋_GB2312" w:eastAsia="仿宋_GB2312"/>
                <w:sz w:val="30"/>
                <w:b/>
              </w:rPr>
              <w:t>2、服务内容：</w:t>
            </w:r>
          </w:p>
          <w:p>
            <w:pPr>
              <w:pStyle w:val="null3"/>
              <w:ind w:firstLine="640"/>
              <w:jc w:val="both"/>
            </w:pPr>
            <w:r>
              <w:rPr>
                <w:rFonts w:ascii="仿宋_GB2312" w:hAnsi="仿宋_GB2312" w:cs="仿宋_GB2312" w:eastAsia="仿宋_GB2312"/>
                <w:sz w:val="32"/>
              </w:rPr>
              <w:t>维护的范围包括网络、服务器及数据的日常运维；对系统及服务器漏洞扫描与防护；对系统功能的完善及升级；对硬件设备的维护保养；对短信平台服务、物联网</w:t>
            </w:r>
            <w:r>
              <w:rPr>
                <w:rFonts w:ascii="仿宋_GB2312" w:hAnsi="仿宋_GB2312" w:cs="仿宋_GB2312" w:eastAsia="仿宋_GB2312"/>
                <w:sz w:val="32"/>
              </w:rPr>
              <w:t>SIM流量专人进行日常管理。针对软件平台系统进行日常维护，每天定时登录服务器检查程序服务中间件、软件系统、服务器软件日志是否存在异常和报错，检查服务器网络是否存在异常；定期漏洞修复；平台功能升级、车载客户端软件、平台联调集成、接入后管理运营、数据备份等维护性操作。对北斗定位终端拆除、改装、维修、定期巡检、维护保养、设备系统升级。</w:t>
            </w:r>
          </w:p>
          <w:p>
            <w:pPr>
              <w:pStyle w:val="null3"/>
              <w:ind w:firstLine="640"/>
              <w:jc w:val="both"/>
            </w:pPr>
            <w:r>
              <w:rPr>
                <w:rFonts w:ascii="仿宋_GB2312" w:hAnsi="仿宋_GB2312" w:cs="仿宋_GB2312" w:eastAsia="仿宋_GB2312"/>
                <w:sz w:val="32"/>
              </w:rPr>
              <w:t>3、服务期限：</w:t>
            </w:r>
            <w:r>
              <w:rPr>
                <w:rFonts w:ascii="仿宋_GB2312" w:hAnsi="仿宋_GB2312" w:cs="仿宋_GB2312" w:eastAsia="仿宋_GB2312"/>
                <w:sz w:val="32"/>
              </w:rPr>
              <w:t>自合同签订之日起</w:t>
            </w:r>
            <w:r>
              <w:rPr>
                <w:rFonts w:ascii="仿宋_GB2312" w:hAnsi="仿宋_GB2312" w:cs="仿宋_GB2312" w:eastAsia="仿宋_GB2312"/>
                <w:sz w:val="32"/>
              </w:rPr>
              <w:t>1年</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rPr>
              <w:t>4、服务地点：</w:t>
            </w:r>
            <w:r>
              <w:rPr>
                <w:rFonts w:ascii="仿宋_GB2312" w:hAnsi="仿宋_GB2312" w:cs="仿宋_GB2312" w:eastAsia="仿宋_GB2312"/>
                <w:sz w:val="32"/>
              </w:rPr>
              <w:t xml:space="preserve"> </w:t>
            </w:r>
            <w:r>
              <w:rPr>
                <w:rFonts w:ascii="仿宋_GB2312" w:hAnsi="仿宋_GB2312" w:cs="仿宋_GB2312" w:eastAsia="仿宋_GB2312"/>
                <w:sz w:val="32"/>
              </w:rPr>
              <w:t>采购人指定地点</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7"/>
                <w:b/>
              </w:rPr>
              <w:t>二、本项目的费用组成明细：</w:t>
            </w:r>
          </w:p>
          <w:tbl>
            <w:tblPr>
              <w:tblBorders>
                <w:top w:val="none" w:color="000000" w:sz="4"/>
                <w:left w:val="none" w:color="000000" w:sz="4"/>
                <w:bottom w:val="none" w:color="000000" w:sz="4"/>
                <w:right w:val="none" w:color="000000" w:sz="4"/>
                <w:insideH w:val="none"/>
                <w:insideV w:val="none"/>
              </w:tblBorders>
            </w:tblPr>
            <w:tblGrid>
              <w:gridCol w:w="621"/>
              <w:gridCol w:w="739"/>
              <w:gridCol w:w="474"/>
              <w:gridCol w:w="359"/>
              <w:gridCol w:w="359"/>
            </w:tblGrid>
            <w:tr>
              <w:tc>
                <w:tcPr>
                  <w:tcW w:type="dxa" w:w="13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运维服务项目</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公务用车信息化管理服务平台维护</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网络、服务器及数据日常运维</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系统安全管理</w:t>
                  </w:r>
                </w:p>
              </w:tc>
              <w:tc>
                <w:tcPr>
                  <w:tcW w:type="dxa" w:w="474"/>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359"/>
                  <w:vMerge/>
                  <w:tcBorders>
                    <w:top w:val="single" w:color="000000" w:sz="4"/>
                    <w:left w:val="single" w:color="000000" w:sz="4"/>
                    <w:bottom w:val="single" w:color="000000" w:sz="4"/>
                    <w:right w:val="single" w:color="000000" w:sz="4"/>
                  </w:tcBorders>
                </w:tcPr>
                <w:p/>
              </w:tc>
            </w:tr>
            <w:tr>
              <w:tc>
                <w:tcPr>
                  <w:tcW w:type="dxa" w:w="62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系统功能需求变更</w:t>
                  </w:r>
                </w:p>
              </w:tc>
              <w:tc>
                <w:tcPr>
                  <w:tcW w:type="dxa" w:w="474"/>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359"/>
                  <w:vMerge/>
                  <w:tcBorders>
                    <w:top w:val="single" w:color="000000" w:sz="4"/>
                    <w:left w:val="single" w:color="000000" w:sz="4"/>
                    <w:bottom w:val="single" w:color="000000" w:sz="4"/>
                    <w:right w:val="single" w:color="000000" w:sz="4"/>
                  </w:tcBorders>
                </w:tcPr>
                <w:p/>
              </w:tc>
            </w:tr>
            <w:tr>
              <w:tc>
                <w:tcPr>
                  <w:tcW w:type="dxa" w:w="62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硬件设备维护</w:t>
                  </w:r>
                </w:p>
              </w:tc>
              <w:tc>
                <w:tcPr>
                  <w:tcW w:type="dxa" w:w="474"/>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359"/>
                  <w:vMerge/>
                  <w:tcBorders>
                    <w:top w:val="single" w:color="000000" w:sz="4"/>
                    <w:left w:val="single" w:color="000000" w:sz="4"/>
                    <w:bottom w:val="single" w:color="000000" w:sz="4"/>
                    <w:right w:val="single" w:color="000000" w:sz="4"/>
                  </w:tcBorders>
                </w:tcPr>
                <w:p/>
              </w:tc>
            </w:tr>
            <w:tr>
              <w:tc>
                <w:tcPr>
                  <w:tcW w:type="dxa" w:w="62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软件系统各项功能现场培训</w:t>
                  </w:r>
                </w:p>
              </w:tc>
              <w:tc>
                <w:tcPr>
                  <w:tcW w:type="dxa" w:w="474"/>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359"/>
                  <w:vMerge/>
                  <w:tcBorders>
                    <w:top w:val="single" w:color="000000" w:sz="4"/>
                    <w:left w:val="single" w:color="000000" w:sz="4"/>
                    <w:bottom w:val="single" w:color="000000" w:sz="4"/>
                    <w:right w:val="single" w:color="000000" w:sz="4"/>
                  </w:tcBorders>
                </w:tcPr>
                <w:p/>
              </w:tc>
            </w:tr>
            <w:tr>
              <w:tc>
                <w:tcPr>
                  <w:tcW w:type="dxa" w:w="621"/>
                  <w:vMerge/>
                  <w:tcBorders>
                    <w:top w:val="none" w:color="000000" w:sz="4"/>
                    <w:left w:val="single" w:color="000000" w:sz="4"/>
                    <w:bottom w:val="single" w:color="000000" w:sz="4"/>
                    <w:right w:val="single" w:color="000000" w:sz="4"/>
                  </w:tcBorders>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服务台远程运维服务</w:t>
                  </w:r>
                </w:p>
              </w:tc>
              <w:tc>
                <w:tcPr>
                  <w:tcW w:type="dxa" w:w="474"/>
                  <w:vMerge/>
                  <w:tcBorders>
                    <w:top w:val="none" w:color="000000" w:sz="4"/>
                    <w:left w:val="single" w:color="000000" w:sz="4"/>
                    <w:bottom w:val="single" w:color="000000" w:sz="4"/>
                    <w:right w:val="single" w:color="000000" w:sz="4"/>
                  </w:tcBorders>
                </w:tcPr>
                <w:p/>
              </w:tc>
              <w:tc>
                <w:tcPr>
                  <w:tcW w:type="dxa" w:w="359"/>
                  <w:vMerge/>
                  <w:tcBorders>
                    <w:top w:val="none" w:color="000000" w:sz="4"/>
                    <w:left w:val="single" w:color="000000" w:sz="4"/>
                    <w:bottom w:val="single" w:color="000000" w:sz="4"/>
                    <w:right w:val="single" w:color="000000" w:sz="4"/>
                  </w:tcBorders>
                </w:tcPr>
                <w:p/>
              </w:tc>
              <w:tc>
                <w:tcPr>
                  <w:tcW w:type="dxa" w:w="359"/>
                  <w:vMerge/>
                  <w:tcBorders>
                    <w:top w:val="single" w:color="000000" w:sz="4"/>
                    <w:left w:val="single" w:color="000000" w:sz="4"/>
                    <w:bottom w:val="single" w:color="000000" w:sz="4"/>
                    <w:right w:val="single" w:color="000000" w:sz="4"/>
                  </w:tcBorders>
                </w:tcP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公务用车定位装置</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批量更换装置</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SIM卡流量</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物联网</w:t>
                  </w:r>
                  <w:r>
                    <w:rPr>
                      <w:rFonts w:ascii="仿宋_GB2312" w:hAnsi="仿宋_GB2312" w:cs="仿宋_GB2312" w:eastAsia="仿宋_GB2312"/>
                      <w:sz w:val="21"/>
                    </w:rPr>
                    <w:t>SIM卡流量</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平台短信服务</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平台短信服务</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平台云资源服务</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平台云资源服务</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rPr>
              <w:t>三、服务质量、标准、期限、效率等要求</w:t>
            </w:r>
          </w:p>
          <w:p>
            <w:pPr>
              <w:pStyle w:val="null3"/>
              <w:ind w:firstLine="640"/>
              <w:jc w:val="both"/>
            </w:pPr>
            <w:r>
              <w:rPr>
                <w:rFonts w:ascii="仿宋_GB2312" w:hAnsi="仿宋_GB2312" w:cs="仿宋_GB2312" w:eastAsia="仿宋_GB2312"/>
                <w:sz w:val="32"/>
                <w:color w:val="000000"/>
              </w:rPr>
              <w:t>1：保障平台硬件、通信及云资源稳定运行，400台硬件运维、SIM卡保障到位，故障修复与售后响应率均达100%，平台全年无重大故障。</w:t>
            </w:r>
          </w:p>
          <w:p>
            <w:pPr>
              <w:pStyle w:val="null3"/>
              <w:ind w:firstLine="640"/>
              <w:jc w:val="both"/>
            </w:pPr>
            <w:r>
              <w:rPr>
                <w:rFonts w:ascii="仿宋_GB2312" w:hAnsi="仿宋_GB2312" w:cs="仿宋_GB2312" w:eastAsia="仿宋_GB2312"/>
                <w:sz w:val="32"/>
                <w:color w:val="000000"/>
              </w:rPr>
              <w:t>2：提升平台安全与数据管理水平，漏洞整改率、数据备份完整性均为100%，按月完成数据备份，保障数据安全。</w:t>
            </w:r>
          </w:p>
          <w:p>
            <w:pPr>
              <w:pStyle w:val="null3"/>
              <w:ind w:firstLine="640"/>
              <w:jc w:val="both"/>
            </w:pPr>
            <w:r>
              <w:rPr>
                <w:rFonts w:ascii="仿宋_GB2312" w:hAnsi="仿宋_GB2312" w:cs="仿宋_GB2312" w:eastAsia="仿宋_GB2312"/>
                <w:sz w:val="32"/>
                <w:color w:val="000000"/>
              </w:rPr>
              <w:t>3：规范公务用车管理流程，提升管理效率，使用单位对运维服务满意度≥95%，推动用车管理数字化发展。</w:t>
            </w:r>
          </w:p>
          <w:p>
            <w:pPr>
              <w:pStyle w:val="null3"/>
              <w:ind w:firstLine="402"/>
              <w:jc w:val="both"/>
            </w:pPr>
            <w:r>
              <w:rPr>
                <w:rFonts w:ascii="仿宋_GB2312" w:hAnsi="仿宋_GB2312" w:cs="仿宋_GB2312" w:eastAsia="仿宋_GB2312"/>
                <w:sz w:val="27"/>
                <w:b/>
              </w:rPr>
              <w:t>四、</w:t>
            </w:r>
            <w:r>
              <w:rPr>
                <w:rFonts w:ascii="仿宋_GB2312" w:hAnsi="仿宋_GB2312" w:cs="仿宋_GB2312" w:eastAsia="仿宋_GB2312"/>
                <w:sz w:val="27"/>
                <w:b/>
              </w:rPr>
              <w:t>其他要求</w:t>
            </w:r>
          </w:p>
          <w:p>
            <w:pPr>
              <w:pStyle w:val="null3"/>
              <w:ind w:firstLine="402"/>
              <w:jc w:val="both"/>
            </w:pPr>
            <w:r>
              <w:rPr>
                <w:rFonts w:ascii="仿宋_GB2312" w:hAnsi="仿宋_GB2312" w:cs="仿宋_GB2312" w:eastAsia="仿宋_GB2312"/>
                <w:sz w:val="32"/>
              </w:rPr>
              <w:t>1.服务标准:</w:t>
            </w:r>
          </w:p>
          <w:p>
            <w:pPr>
              <w:pStyle w:val="null3"/>
              <w:ind w:firstLine="640"/>
              <w:jc w:val="both"/>
            </w:pPr>
            <w:r>
              <w:rPr>
                <w:rFonts w:ascii="仿宋_GB2312" w:hAnsi="仿宋_GB2312" w:cs="仿宋_GB2312" w:eastAsia="仿宋_GB2312"/>
                <w:sz w:val="32"/>
              </w:rPr>
              <w:t>1.1 服务商应配备服务小组和项目经理，分工明确，职责清晰（应有具体成员名单，包括姓名、职务、职称、工作职责、联系方式等）</w:t>
            </w:r>
            <w:r>
              <w:rPr>
                <w:rFonts w:ascii="仿宋_GB2312" w:hAnsi="仿宋_GB2312" w:cs="仿宋_GB2312" w:eastAsia="仿宋_GB2312"/>
                <w:sz w:val="32"/>
              </w:rPr>
              <w:t>(注：以上所有人员须提供在开标截止时间前六个月内任意一个月的社会保险缴纳证明)</w:t>
            </w:r>
          </w:p>
          <w:p>
            <w:pPr>
              <w:pStyle w:val="null3"/>
              <w:ind w:firstLine="640"/>
              <w:jc w:val="both"/>
            </w:pPr>
            <w:r>
              <w:rPr>
                <w:rFonts w:ascii="仿宋_GB2312" w:hAnsi="仿宋_GB2312" w:cs="仿宋_GB2312" w:eastAsia="仿宋_GB2312"/>
                <w:sz w:val="32"/>
              </w:rPr>
              <w:t xml:space="preserve">1.2 </w:t>
            </w:r>
            <w:r>
              <w:rPr>
                <w:rFonts w:ascii="仿宋_GB2312" w:hAnsi="仿宋_GB2312" w:cs="仿宋_GB2312" w:eastAsia="仿宋_GB2312"/>
                <w:sz w:val="32"/>
              </w:rPr>
              <w:t>在设备发生紧急故障的情况下，乙方将提出应急解决措施：</w:t>
            </w:r>
            <w:r>
              <w:rPr>
                <w:rFonts w:ascii="仿宋_GB2312" w:hAnsi="仿宋_GB2312" w:cs="仿宋_GB2312" w:eastAsia="仿宋_GB2312"/>
                <w:sz w:val="32"/>
              </w:rPr>
              <w:t>7×24的响应时间，由当地服务机构的技术人员立即赶往现场进行排除，</w:t>
            </w:r>
            <w:r>
              <w:rPr>
                <w:rFonts w:ascii="仿宋_GB2312" w:hAnsi="仿宋_GB2312" w:cs="仿宋_GB2312" w:eastAsia="仿宋_GB2312"/>
                <w:sz w:val="32"/>
              </w:rPr>
              <w:t>4小时排除故障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1.3</w:t>
            </w:r>
            <w:r>
              <w:rPr>
                <w:rFonts w:ascii="仿宋_GB2312" w:hAnsi="仿宋_GB2312" w:cs="仿宋_GB2312" w:eastAsia="仿宋_GB2312"/>
                <w:sz w:val="32"/>
              </w:rPr>
              <w:t>远程定期</w:t>
            </w:r>
            <w:r>
              <w:rPr>
                <w:rFonts w:ascii="仿宋_GB2312" w:hAnsi="仿宋_GB2312" w:cs="仿宋_GB2312" w:eastAsia="仿宋_GB2312"/>
                <w:sz w:val="32"/>
              </w:rPr>
              <w:t>(</w:t>
            </w:r>
            <w:r>
              <w:rPr>
                <w:rFonts w:ascii="仿宋_GB2312" w:hAnsi="仿宋_GB2312" w:cs="仿宋_GB2312" w:eastAsia="仿宋_GB2312"/>
                <w:sz w:val="32"/>
              </w:rPr>
              <w:t>三个月至少一次</w:t>
            </w:r>
            <w:r>
              <w:rPr>
                <w:rFonts w:ascii="仿宋_GB2312" w:hAnsi="仿宋_GB2312" w:cs="仿宋_GB2312" w:eastAsia="仿宋_GB2312"/>
                <w:sz w:val="32"/>
              </w:rPr>
              <w:t>)</w:t>
            </w:r>
            <w:r>
              <w:rPr>
                <w:rFonts w:ascii="仿宋_GB2312" w:hAnsi="仿宋_GB2312" w:cs="仿宋_GB2312" w:eastAsia="仿宋_GB2312"/>
                <w:sz w:val="32"/>
              </w:rPr>
              <w:t>系统巡检：检查系统漏洞，定期打补丁，系统更新升级、系统故障排除等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1.4</w:t>
            </w:r>
            <w:r>
              <w:rPr>
                <w:rFonts w:ascii="仿宋_GB2312" w:hAnsi="仿宋_GB2312" w:cs="仿宋_GB2312" w:eastAsia="仿宋_GB2312"/>
                <w:sz w:val="32"/>
              </w:rPr>
              <w:t>远程技术咨询服务：电话或微信等解答客户提出的技术问题。</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5现场技术咨询、故障排除服务：赴客户现场提供技术咨询，故障排除服务。</w:t>
            </w:r>
          </w:p>
          <w:p>
            <w:pPr>
              <w:pStyle w:val="null3"/>
              <w:ind w:firstLine="640"/>
              <w:jc w:val="both"/>
            </w:pPr>
            <w:r>
              <w:rPr>
                <w:rFonts w:ascii="仿宋_GB2312" w:hAnsi="仿宋_GB2312" w:cs="仿宋_GB2312" w:eastAsia="仿宋_GB2312"/>
                <w:sz w:val="32"/>
              </w:rPr>
              <w:t>2.付款方式：</w:t>
            </w:r>
          </w:p>
          <w:p>
            <w:pPr>
              <w:pStyle w:val="null3"/>
              <w:ind w:firstLine="640"/>
              <w:jc w:val="both"/>
            </w:pPr>
            <w:r>
              <w:rPr>
                <w:rFonts w:ascii="仿宋_GB2312" w:hAnsi="仿宋_GB2312" w:cs="仿宋_GB2312" w:eastAsia="仿宋_GB2312"/>
                <w:sz w:val="32"/>
              </w:rPr>
              <w:t>甲方</w:t>
            </w:r>
            <w:r>
              <w:rPr>
                <w:rFonts w:ascii="仿宋_GB2312" w:hAnsi="仿宋_GB2312" w:cs="仿宋_GB2312" w:eastAsia="仿宋_GB2312"/>
                <w:sz w:val="32"/>
              </w:rPr>
              <w:t>出具服务满意报告，半年</w:t>
            </w:r>
            <w:r>
              <w:rPr>
                <w:rFonts w:ascii="仿宋_GB2312" w:hAnsi="仿宋_GB2312" w:cs="仿宋_GB2312" w:eastAsia="仿宋_GB2312"/>
                <w:sz w:val="32"/>
              </w:rPr>
              <w:t>服务期</w:t>
            </w:r>
            <w:r>
              <w:rPr>
                <w:rFonts w:ascii="仿宋_GB2312" w:hAnsi="仿宋_GB2312" w:cs="仿宋_GB2312" w:eastAsia="仿宋_GB2312"/>
                <w:sz w:val="32"/>
              </w:rPr>
              <w:t>支付合同总价的</w:t>
            </w:r>
            <w:r>
              <w:rPr>
                <w:rFonts w:ascii="仿宋_GB2312" w:hAnsi="仿宋_GB2312" w:cs="仿宋_GB2312" w:eastAsia="仿宋_GB2312"/>
                <w:sz w:val="32"/>
              </w:rPr>
              <w:t>60%，服务期满剩余40%验收合格后一次性付清。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依照谈判文件要求满足采购人项目需求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依照谈判文件要求满足采购人项目需求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甲方出具服务满意报告，半年服务期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1.服务期满后，采购人根据招标文件及相关要求，进行验收，确认服务标准和服务方式是否达到采购要求。 2.服务商向采购人提供服务过程中的所有资料,以便采购人日后管理。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响应文件中项目名称、项目编号与本项目一致，按照谈判文件要求签字盖章，无遗漏</w:t>
            </w:r>
          </w:p>
        </w:tc>
        <w:tc>
          <w:tcPr>
            <w:tcW w:type="dxa" w:w="3322"/>
          </w:tcPr>
          <w:p>
            <w:pPr>
              <w:pStyle w:val="null3"/>
            </w:pPr>
            <w:r>
              <w:rPr>
                <w:rFonts w:ascii="仿宋_GB2312" w:hAnsi="仿宋_GB2312" w:cs="仿宋_GB2312" w:eastAsia="仿宋_GB2312"/>
              </w:rPr>
              <w:t>响应文件中项目名称、项目编号与本项目一致，按照谈判文件要求签字盖章，无遗漏。 “投标响应文件格式”中凡注明“签字和盖章”处，供应商必须既手写签字又盖章；“投标响应文件格式”中凡注明“签字或盖章”处，供应商实施一项内容即可；投标响应文件中所附的相关材料的复印件，也须加盖供应商单位公章。</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