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版本号：CZCLYZX(2026)LH-120260227001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澄城县2024年度省级林业草原改革发展资金G242国道重点区域绿化补助项目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CZCLYZX(2026)LH-1</w:t>
      </w:r>
      <w:r>
        <w:br/>
      </w:r>
      <w:r>
        <w:br/>
      </w:r>
      <w:r>
        <w:br/>
      </w:r>
    </w:p>
    <w:p>
      <w:pPr>
        <w:pStyle w:val="null3"/>
        <w:jc w:val="center"/>
        <w:outlineLvl w:val="2"/>
      </w:pPr>
      <w:r>
        <w:rPr>
          <w:rFonts w:ascii="仿宋_GB2312" w:hAnsi="仿宋_GB2312" w:cs="仿宋_GB2312" w:eastAsia="仿宋_GB2312"/>
          <w:sz w:val="28"/>
          <w:b/>
        </w:rPr>
        <w:t>澄城县林业发展中心</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澄城县林业发展中心</w:t>
      </w:r>
      <w:r>
        <w:rPr>
          <w:rFonts w:ascii="仿宋_GB2312" w:hAnsi="仿宋_GB2312" w:cs="仿宋_GB2312" w:eastAsia="仿宋_GB2312"/>
        </w:rPr>
        <w:t>委托，拟对</w:t>
      </w:r>
      <w:r>
        <w:rPr>
          <w:rFonts w:ascii="仿宋_GB2312" w:hAnsi="仿宋_GB2312" w:cs="仿宋_GB2312" w:eastAsia="仿宋_GB2312"/>
        </w:rPr>
        <w:t>澄城县2024年度省级林业草原改革发展资金G242国道重点区域绿化补助项目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CZCLYZX(2026)LH-1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澄城县2024年度省级林业草原改革发展资金G242国道重点区域绿化补助项目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项目总面积319.34亩，作业面积300亩，建设内容包括种植侧柏、油松、国槐、白皮松，银杏、大叶黄杨球、大叶黄杨绿篱等绿化树种的施工。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采购包1（澄城县2024年度省级林业草原改革发展资金G242国道重点区域绿化补助项目）：属于专门面向中小企业采购。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1、供应商资质：供应商具备建设行政主管部门颁发的建筑工程施工总承包三级及以上资质；具有有效的安全生产许可 证；</w:t>
      </w:r>
    </w:p>
    <w:p>
      <w:pPr>
        <w:pStyle w:val="null3"/>
      </w:pPr>
      <w:r>
        <w:rPr>
          <w:rFonts w:ascii="仿宋_GB2312" w:hAnsi="仿宋_GB2312" w:cs="仿宋_GB2312" w:eastAsia="仿宋_GB2312"/>
        </w:rPr>
        <w:t>2、拟派项目负责人资质和专业：证书等级：二级及以上 专业：建筑工程专业 补充说明：项目经理须具有建筑工程专业二级及以上注册建造师证书和有效的安全生产考核合格证书，且未担任其他在建工程的项目经理；</w:t>
      </w:r>
    </w:p>
    <w:p>
      <w:pPr>
        <w:pStyle w:val="null3"/>
      </w:pPr>
      <w:r>
        <w:rPr>
          <w:rFonts w:ascii="仿宋_GB2312" w:hAnsi="仿宋_GB2312" w:cs="仿宋_GB2312" w:eastAsia="仿宋_GB2312"/>
        </w:rPr>
        <w:t>3、法定代表人身份证明/法定代表人授权委托书：法定代表人授权委托书（附法定代表人、被授 权人身份证复印件并加盖投标人公章），（法 定代表 人参加投标只须提供法定代表人身份证 明及身份证复印件并加盖投标人公章）；（注 ：被授权人须 为本单位在职员工并提供投标截 止日前三个月内任意一个月的社会保障资金凭 证并加盖投标人公章 ）</w:t>
      </w:r>
    </w:p>
    <w:p>
      <w:pPr>
        <w:pStyle w:val="null3"/>
      </w:pPr>
      <w:r>
        <w:rPr>
          <w:rFonts w:ascii="仿宋_GB2312" w:hAnsi="仿宋_GB2312" w:cs="仿宋_GB2312" w:eastAsia="仿宋_GB2312"/>
        </w:rPr>
        <w:t>4、信用信息：供应商不得为“中国执行信息公开网”（http://z xgk.court.gov.cn/）中列入失信被执行人和“ 信用中国网站”（www.creditchina.gov.cn） 重大税收违法案件当事人名单的供应商，不得 为中国政 府采购网（www.ccgp.gov.cn）政府 采购严重违法失信行为记录名单中被财政部门 禁止参加政府 采购活动的供应商；（提供查询 结果网页截图，并加盖投标人公章）</w:t>
      </w:r>
    </w:p>
    <w:p>
      <w:pPr>
        <w:pStyle w:val="null3"/>
      </w:pPr>
      <w:r>
        <w:rPr>
          <w:rFonts w:ascii="仿宋_GB2312" w:hAnsi="仿宋_GB2312" w:cs="仿宋_GB2312" w:eastAsia="仿宋_GB2312"/>
        </w:rPr>
        <w:t>5、非联合体声明：本项目不接受联合体投标。（提供非联合体声明, 格式自拟加盖投标人公章）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澄城县林业发展中心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澄城县东九路86号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13649130383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采购包1：1,437,300.00元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澄城县林业发展中心</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澄城县林业发展中心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澄城县林业发展中心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澄城县林业发展中心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澄城县林业发展中心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澄城县林业发展中心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联系人：常女士</w:t>
      </w:r>
    </w:p>
    <w:p>
      <w:pPr>
        <w:pStyle w:val="null3"/>
      </w:pPr>
      <w:r>
        <w:rPr>
          <w:rFonts w:ascii="仿宋_GB2312" w:hAnsi="仿宋_GB2312" w:cs="仿宋_GB2312" w:eastAsia="仿宋_GB2312"/>
        </w:rPr>
        <w:t>联系电话：13649130383</w:t>
      </w:r>
    </w:p>
    <w:p>
      <w:pPr>
        <w:pStyle w:val="null3"/>
      </w:pPr>
      <w:r>
        <w:rPr>
          <w:rFonts w:ascii="仿宋_GB2312" w:hAnsi="仿宋_GB2312" w:cs="仿宋_GB2312" w:eastAsia="仿宋_GB2312"/>
        </w:rPr>
        <w:t>地址：澄城县东九路86号</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1,437,300.00</w:t>
      </w:r>
    </w:p>
    <w:p>
      <w:pPr>
        <w:pStyle w:val="null3"/>
      </w:pPr>
      <w:r>
        <w:rPr>
          <w:rFonts w:ascii="仿宋_GB2312" w:hAnsi="仿宋_GB2312" w:cs="仿宋_GB2312" w:eastAsia="仿宋_GB2312"/>
        </w:rPr>
        <w:t>采购包最高限价（元）: 1,437,300.00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澄城县2024年度省级林业草原改革发展资金G242国道重点区域绿化补助项目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1,437,300.00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标的名称：澄城县2024年度省级林业草原改革发展资金G242国道重点区域绿化补助项目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color w:val="000000"/>
              </w:rPr>
              <w:t>一、工程概况</w:t>
            </w:r>
          </w:p>
          <w:p>
            <w:pPr>
              <w:pStyle w:val="null3"/>
              <w:ind w:firstLine="560"/>
              <w:jc w:val="both"/>
            </w:pPr>
            <w:r>
              <w:rPr>
                <w:rFonts w:ascii="仿宋_GB2312" w:hAnsi="仿宋_GB2312" w:cs="仿宋_GB2312" w:eastAsia="仿宋_GB2312"/>
                <w:sz w:val="28"/>
                <w:color w:val="000000"/>
              </w:rPr>
              <w:t>项目</w:t>
            </w:r>
            <w:r>
              <w:rPr>
                <w:rFonts w:ascii="仿宋_GB2312" w:hAnsi="仿宋_GB2312" w:cs="仿宋_GB2312" w:eastAsia="仿宋_GB2312"/>
                <w:sz w:val="28"/>
                <w:color w:val="000000"/>
              </w:rPr>
              <w:t>名称：</w:t>
            </w:r>
            <w:r>
              <w:rPr>
                <w:rFonts w:ascii="仿宋_GB2312" w:hAnsi="仿宋_GB2312" w:cs="仿宋_GB2312" w:eastAsia="仿宋_GB2312"/>
                <w:sz w:val="28"/>
                <w:color w:val="000000"/>
              </w:rPr>
              <w:t>澄城县</w:t>
            </w:r>
            <w:r>
              <w:rPr>
                <w:rFonts w:ascii="仿宋_GB2312" w:hAnsi="仿宋_GB2312" w:cs="仿宋_GB2312" w:eastAsia="仿宋_GB2312"/>
                <w:sz w:val="28"/>
                <w:color w:val="000000"/>
              </w:rPr>
              <w:t>2024年度省级林业草原改革发展资金G242国道重点区域绿化补助项目</w:t>
            </w:r>
          </w:p>
          <w:p>
            <w:pPr>
              <w:pStyle w:val="null3"/>
              <w:ind w:firstLine="560"/>
              <w:jc w:val="both"/>
            </w:pPr>
            <w:r>
              <w:rPr>
                <w:rFonts w:ascii="仿宋_GB2312" w:hAnsi="仿宋_GB2312" w:cs="仿宋_GB2312" w:eastAsia="仿宋_GB2312"/>
                <w:sz w:val="28"/>
                <w:color w:val="000000"/>
              </w:rPr>
              <w:t>建设地点：澄城县</w:t>
            </w:r>
          </w:p>
          <w:p>
            <w:pPr>
              <w:pStyle w:val="null3"/>
              <w:ind w:firstLine="560"/>
              <w:jc w:val="both"/>
            </w:pPr>
            <w:r>
              <w:rPr>
                <w:rFonts w:ascii="仿宋_GB2312" w:hAnsi="仿宋_GB2312" w:cs="仿宋_GB2312" w:eastAsia="仿宋_GB2312"/>
                <w:sz w:val="28"/>
                <w:color w:val="000000"/>
              </w:rPr>
              <w:t>工程内容：项目总面积</w:t>
            </w:r>
            <w:r>
              <w:rPr>
                <w:rFonts w:ascii="仿宋_GB2312" w:hAnsi="仿宋_GB2312" w:cs="仿宋_GB2312" w:eastAsia="仿宋_GB2312"/>
                <w:sz w:val="28"/>
                <w:color w:val="000000"/>
              </w:rPr>
              <w:t>319.34亩，作业面积300亩，建设内容包括种植侧柏、油松、国槐、白皮松，银杏、大叶黄杨球、大叶黄杨绿篱等绿化树种的施工，具体详见工程量清单。</w:t>
            </w:r>
          </w:p>
          <w:p>
            <w:pPr>
              <w:pStyle w:val="null3"/>
              <w:ind w:firstLine="562"/>
              <w:jc w:val="both"/>
            </w:pPr>
            <w:r>
              <w:rPr>
                <w:rFonts w:ascii="仿宋_GB2312" w:hAnsi="仿宋_GB2312" w:cs="仿宋_GB2312" w:eastAsia="仿宋_GB2312"/>
                <w:sz w:val="28"/>
                <w:b/>
                <w:color w:val="000000"/>
              </w:rPr>
              <w:t>二、计划工期</w:t>
            </w:r>
          </w:p>
          <w:p>
            <w:pPr>
              <w:pStyle w:val="null3"/>
              <w:ind w:firstLine="560"/>
              <w:jc w:val="both"/>
            </w:pPr>
            <w:r>
              <w:rPr>
                <w:rFonts w:ascii="仿宋_GB2312" w:hAnsi="仿宋_GB2312" w:cs="仿宋_GB2312" w:eastAsia="仿宋_GB2312"/>
                <w:sz w:val="28"/>
                <w:color w:val="000000"/>
              </w:rPr>
              <w:t>自合同签订之日起</w:t>
            </w:r>
            <w:r>
              <w:rPr>
                <w:rFonts w:ascii="仿宋_GB2312" w:hAnsi="仿宋_GB2312" w:cs="仿宋_GB2312" w:eastAsia="仿宋_GB2312"/>
                <w:sz w:val="28"/>
                <w:color w:val="000000"/>
              </w:rPr>
              <w:t>270日历天。</w:t>
            </w:r>
          </w:p>
          <w:p>
            <w:pPr>
              <w:pStyle w:val="null3"/>
              <w:numPr>
                <w:ilvl w:val="0"/>
                <w:numId w:val="1"/>
              </w:numPr>
              <w:jc w:val="both"/>
            </w:pPr>
            <w:r>
              <w:rPr>
                <w:rFonts w:ascii="仿宋_GB2312" w:hAnsi="仿宋_GB2312" w:cs="仿宋_GB2312" w:eastAsia="仿宋_GB2312"/>
                <w:sz w:val="28"/>
                <w:b/>
                <w:color w:val="000000"/>
              </w:rPr>
              <w:t>商务要求</w:t>
            </w:r>
          </w:p>
          <w:p>
            <w:pPr>
              <w:pStyle w:val="null3"/>
              <w:ind w:firstLine="560"/>
              <w:jc w:val="both"/>
            </w:pPr>
            <w:r>
              <w:rPr>
                <w:rFonts w:ascii="仿宋_GB2312" w:hAnsi="仿宋_GB2312" w:cs="仿宋_GB2312" w:eastAsia="仿宋_GB2312"/>
                <w:sz w:val="28"/>
                <w:color w:val="000000"/>
              </w:rPr>
              <w:t>合同签订后，达到付款条件起</w:t>
            </w:r>
            <w:r>
              <w:rPr>
                <w:rFonts w:ascii="仿宋_GB2312" w:hAnsi="仿宋_GB2312" w:cs="仿宋_GB2312" w:eastAsia="仿宋_GB2312"/>
                <w:sz w:val="28"/>
                <w:color w:val="000000"/>
              </w:rPr>
              <w:t>30日内，支付合同总金额的20%；施工过程中根据施工进度，达到付款条件起30日内，支付合同总金额的60%；工程竣工验收合格并办理竣工结算评审后，达到付款条件起30日内，支付合同总金额的20%。</w:t>
            </w:r>
          </w:p>
          <w:p>
            <w:pPr>
              <w:pStyle w:val="null3"/>
              <w:ind w:firstLine="562"/>
              <w:jc w:val="both"/>
            </w:pPr>
            <w:r>
              <w:rPr>
                <w:rFonts w:ascii="仿宋_GB2312" w:hAnsi="仿宋_GB2312" w:cs="仿宋_GB2312" w:eastAsia="仿宋_GB2312"/>
                <w:sz w:val="28"/>
                <w:b/>
                <w:color w:val="000000"/>
              </w:rPr>
              <w:t>四、其他</w:t>
            </w:r>
          </w:p>
          <w:p>
            <w:pPr>
              <w:pStyle w:val="null3"/>
              <w:ind w:firstLine="560"/>
              <w:jc w:val="both"/>
            </w:pPr>
            <w:r>
              <w:rPr>
                <w:rFonts w:ascii="仿宋_GB2312" w:hAnsi="仿宋_GB2312" w:cs="仿宋_GB2312" w:eastAsia="仿宋_GB2312"/>
                <w:sz w:val="28"/>
                <w:color w:val="000000"/>
              </w:rPr>
              <w:t>1.质量验收标准或规范：现行的国家标准或国家行政部门颁布的法律法规、规章制度等，是项目验收的另一个重要依据。没有国家标准的，可以参考行业标准。</w:t>
            </w:r>
          </w:p>
          <w:p>
            <w:pPr>
              <w:pStyle w:val="null3"/>
              <w:ind w:firstLine="560"/>
              <w:jc w:val="both"/>
            </w:pPr>
            <w:r>
              <w:rPr>
                <w:rFonts w:ascii="仿宋_GB2312" w:hAnsi="仿宋_GB2312" w:cs="仿宋_GB2312" w:eastAsia="仿宋_GB2312"/>
                <w:sz w:val="28"/>
                <w:color w:val="000000"/>
              </w:rPr>
              <w:t>2.质保期：2年，成活率≥95%</w:t>
            </w:r>
            <w:r>
              <w:rPr>
                <w:rFonts w:ascii="仿宋_GB2312" w:hAnsi="仿宋_GB2312" w:cs="仿宋_GB2312" w:eastAsia="仿宋_GB2312"/>
                <w:sz w:val="28"/>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《建筑工程施工质量验收统一标准》(GB50300-2024)</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 独立承担民事责任能力，提供供应商合法注册 的法人或其他组 织的营业执照； (2)财务状况证明：提供2024年度经审计的财务报告（包含审 计报告和审计报告中所涉及的财务报表和报表 附注）或提供2024年度完整的全 套财务报表（ 应当包括资产负债表、利润表、现金流量表、 所有者权益变动表 、附注）或开标前六个月内 基本存款账户开户银行出具的资信证明（附开 户许 可证或基本存款账户信息）(供应商注册时 间截至开标时间不足一年的，也可提 供在工商 管理部门备案的公司章程。）； (3)提供具有履 行合同所必需的设备 和专业技术能力的说明及 承诺；（详见附件，加盖投标人公章） (4)税收缴纳 证明：提供投标 截止时间前六个月内任意一个月的纳税证明或 完税证明；（以 税款所属期为准，依法免税的 应提供相关证明材料） (5)社会保障资金缴纳证 明：供应商提供本单位2025年06月至今已缴纳 的至少一个月的社会保障资金 缴存单据或社保 机构开具的社会保险参保缴费情况证明；（依 法不需要缴纳社 会保障资金的投标人应提供相 关证明） (6)提供参加政府采购活动前三年内在 经营活动中没有重大违法记录的书面声明；（详见附件，加盖投标人公章）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(1)单位负责人 为同一人或者存在直接控股、管理关系的不同 供应商不得 参加同一合同项下的政府采购活动 ；（提供承诺函，格式自拟加盖投标人公章 ） ( 2)为本项目提供整体设计、规范编制或者项目 管理、监理、检测等服务的 供应商，不得再参 加该采购项目的其他采购活动。（提供承诺函, 格 式自拟加 盖投标人公章）</w:t>
            </w:r>
          </w:p>
        </w:tc>
        <w:tc>
          <w:tcPr>
            <w:tcW w:type="dxa" w:w="1661"/>
          </w:tcPr>
          <w:p>
            <w:pPr>
              <w:pStyle w:val="null3"/>
            </w:pPr>
            <w:r>
              <w:rPr>
                <w:rFonts w:ascii="仿宋_GB2312" w:hAnsi="仿宋_GB2312" w:cs="仿宋_GB2312" w:eastAsia="仿宋_GB2312"/>
              </w:rPr>
              <w:t>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供应商具备建设行政主管部门颁发的建筑工程施工总承包三级及以上资质；具有有效的安全生产许可 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w:t>
            </w:r>
          </w:p>
        </w:tc>
        <w:tc>
          <w:tcPr>
            <w:tcW w:type="dxa" w:w="3322"/>
          </w:tcPr>
          <w:p>
            <w:pPr>
              <w:pStyle w:val="null3"/>
            </w:pPr>
            <w:r>
              <w:rPr>
                <w:rFonts w:ascii="仿宋_GB2312" w:hAnsi="仿宋_GB2312" w:cs="仿宋_GB2312" w:eastAsia="仿宋_GB2312"/>
              </w:rPr>
              <w:t>证书等级：二级及以上 专业：建筑工程专业 补充说明：项目经理须具有建筑工程专业二级及以上注册建造师证书和有效的安全生产考核合格证书，且未担任其他在建工程的项目经理；</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法定代表人授权委托书（附法定代表人、被授 权人身份证复印件并加盖投标人公章），（法 定代表 人参加投标只须提供法定代表人身份证 明及身份证复印件并加盖投标人公章）；（注 ：被授权人须 为本单位在职员工并提供投标截 止日前三个月内任意一个月的社会保障资金凭 证并加盖投标人公章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 xgk.court.gov.cn/）中列入失信被执行人和“ 信用中国网站”（www.creditchina.gov.cn） 重大税收违法案件当事人名单的供应商，不得 为中国政 府采购网（www.ccgp.gov.cn）政府 采购严重违法失信行为记录名单中被财政部门 禁止参加政府 采购活动的供应商；（提供查询 结果网页截图，并加盖投标人公章）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技术服务响应偏离表.docx 商务要求响应偏离表.docx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技术服务响应偏离表.docx 商务要求响应偏离表.docx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 置； ②施工阶段划分及施工顺序安 排； ③施工目标：安全目标、工期 目标、质量目标； ④资源配备计划 ：主要施工机械设备、劳动力等配 备计划及主材进场计划； （二）评 审标准： （1）每项评审内容完整 无缺陷得4分；未提供得0分； （2 ）每项评审内容每存在一处缺陷扣 0.5分，扣完为止。(缺陷是指：① 编制内容与项目不吻合、层次未细 化；②阐述未从实际出发，不切合 项目背景及需求；③存在抄袭或套 用其他地区或项目内容；④前后逻 辑错误、存在歧义；⑤无具体详细 的阐述、实施性不强；⑥科学原理 或常识错误等。)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 施工方法及相关技术措施； ③重点 难点工程分析及解决措施。 （二） 评审标准： （1）每项评审内容完 整无缺陷得3分；未提供得0分；（ 2）每项评审内容每存在一处缺陷 扣0.5分，扣完为止。(缺陷是指： ①编制内容与项目不吻合、层次未 细化；②阐述未从实际出发，不切 合项目背景及需求；③存在抄袭或 套用其他地区或项目内容；④前后 逻辑错误、存在歧义；⑤无具体详 细的阐述、实施性不强；⑥科学原 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 境保护管理体系； ②防尘降噪措施 ； ③文明施工及环境保护措施。（ 二）评审标准： （1）每项评审内 容完整无缺陷得3分；未提供得0分 ； （2）每项评审内容每存在一处 缺陷扣0.5分，扣完为止。(缺陷是 指：①编制内容与项目不吻合、层 次未细化；②阐述未从实际出发， 不切合项目背景及需求；③存在抄 袭或套用其他地区或项目内容；④ 前后逻辑错误、存在歧义；⑤无具 体详细的阐述、实施性不强；⑥科 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 理机构人员结构合理、岗位职责明 确，除项目经理外，项目管理机构 配备6人以上（含6人）得6分，每 少1人扣1分，扣完为止，本项最高 得6分； （2）项目管理人员中， 每具有一个相关专业中级职称人员 得1分，高级职称人员得1.5分，最 多得3分。 注：须提供人员相关证 件，不提供或完全背离评审标准得 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 ②工期保障措施。 （二）评审 标准： （1）每项评审内容完整无 缺陷得3分；未提供得0分； （2） 每项评审内容每存在一处缺陷扣0. 5分，扣完为止。(缺陷是指：①编 制内容与项目不吻合、层次未细化 ；②阐述未从实际出发，不切合项 目背景及需求；③存在抄袭或套用 其他地区或项目内容；④前后逻辑 错误、存在歧义；⑤无具体详细的 阐述、实施性不强；⑥科学原理或 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 ②施工质量保障措施。 （二） 评审标准： （1）每项评审内容完 整无缺陷得3分；未提供得0分；（ 2）每项评审内容每存在一处缺陷 扣0.5分，扣完为止。(缺陷是指： ①编制内容与项目不吻合、层次未 细化；②阐述未从实际出发，不切 合项目背景及需求；③存在抄袭或 套用其他地区或项目内容；④前后 逻辑错误、存在歧义；⑤无具体详 细的阐述、实施性不强；⑥科学原 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确保安全生产的技术 组织措施</w:t>
            </w:r>
          </w:p>
        </w:tc>
        <w:tc>
          <w:tcPr>
            <w:tcW w:type="dxa" w:w="2492"/>
          </w:tcPr>
          <w:p>
            <w:pPr>
              <w:pStyle w:val="null3"/>
            </w:pPr>
            <w:r>
              <w:rPr>
                <w:rFonts w:ascii="仿宋_GB2312" w:hAnsi="仿宋_GB2312" w:cs="仿宋_GB2312" w:eastAsia="仿宋_GB2312"/>
              </w:rPr>
              <w:t>（一）评审内容： ①安全生产管理 体系； ②安全生产保证措施。 （ 二）评审标准： （1）每项评审内 容完整无缺陷得2.5分；未提供得0分 ； （2）每项评审内容每存在一处 缺陷扣0.5分，扣完为止。(缺陷是 指：①编制内容与项目不吻合、层 次未细化；②阐述未从实际出发， 不切合项目背景及需求；③存在抄 袭或套用其他地区或项目内容；④ 前后逻辑错误、存在歧义；⑤无具 体详细的阐述、实施性不强；⑥科 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提供2024年1月1日起至今同类项 目业绩（附合同复印件或中标通知 书，时间以合同签订时间或中标通 知书时间为准），每提供一个计1 分，总分5分，不提供不得分。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 满足磋商文件要求且最终报价最低 的供应商的价格为磋商基准价，其 价格得分为满分。其他供应商的价 格得分统一按照下列公式计算：磋 商报价得分=（磋商基准价/最终磋 商报价）*35（报价高于预算或低 于成本价为无效报价）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详见附件：技术响应文件.docx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详见附件：技术服务响应偏离表.docx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