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版本号：SXDY-2026-013.1B120260209001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寺前镇镇域基础设施建设项目（一期）(二次)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SXDY-2026-013.1B1</w:t>
      </w:r>
      <w:r>
        <w:br/>
      </w:r>
      <w:r>
        <w:br/>
      </w:r>
      <w:r>
        <w:br/>
      </w:r>
    </w:p>
    <w:p>
      <w:pPr>
        <w:pStyle w:val="null3"/>
        <w:jc w:val="center"/>
        <w:outlineLvl w:val="2"/>
      </w:pPr>
      <w:r>
        <w:rPr>
          <w:rFonts w:ascii="仿宋_GB2312" w:hAnsi="仿宋_GB2312" w:cs="仿宋_GB2312" w:eastAsia="仿宋_GB2312"/>
          <w:sz w:val="28"/>
          <w:b/>
        </w:rPr>
        <w:t>澄城县寺前镇人民政府</w:t>
      </w:r>
    </w:p>
    <w:p>
      <w:pPr>
        <w:pStyle w:val="null3"/>
        <w:jc w:val="center"/>
        <w:outlineLvl w:val="2"/>
      </w:pPr>
      <w:r>
        <w:rPr>
          <w:rFonts w:ascii="仿宋_GB2312" w:hAnsi="仿宋_GB2312" w:cs="仿宋_GB2312" w:eastAsia="仿宋_GB2312"/>
          <w:sz w:val="28"/>
          <w:b/>
        </w:rPr>
        <w:t>陕西大用项目管理有限公司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陕西大用项目管理有限公司</w:t>
      </w:r>
      <w:r>
        <w:rPr>
          <w:rFonts w:ascii="仿宋_GB2312" w:hAnsi="仿宋_GB2312" w:cs="仿宋_GB2312" w:eastAsia="仿宋_GB2312"/>
        </w:rPr>
        <w:t>（以下简称“代理机构”）受</w:t>
      </w:r>
      <w:r>
        <w:rPr>
          <w:rFonts w:ascii="仿宋_GB2312" w:hAnsi="仿宋_GB2312" w:cs="仿宋_GB2312" w:eastAsia="仿宋_GB2312"/>
        </w:rPr>
        <w:t>澄城县寺前镇人民政府</w:t>
      </w:r>
      <w:r>
        <w:rPr>
          <w:rFonts w:ascii="仿宋_GB2312" w:hAnsi="仿宋_GB2312" w:cs="仿宋_GB2312" w:eastAsia="仿宋_GB2312"/>
        </w:rPr>
        <w:t>委托，拟对</w:t>
      </w:r>
      <w:r>
        <w:rPr>
          <w:rFonts w:ascii="仿宋_GB2312" w:hAnsi="仿宋_GB2312" w:cs="仿宋_GB2312" w:eastAsia="仿宋_GB2312"/>
        </w:rPr>
        <w:t>寺前镇镇域基础设施建设项目（一期）(二次)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SXDY-2026-013.1B1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寺前镇镇域基础设施建设项目（一期）(二次)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铺设寺前镇街区主街道、东环路等道路沥青路面10500平方及其配套设施。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采购包1（寺前镇镇域基础设施建设项目（一期））：属于专门面向中小企业采购。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1、具有独立承担民事责任能力：具有独立承担民事责任能力，提供供应商合法注册的法人或其他组织的营业执照；</w:t>
      </w:r>
    </w:p>
    <w:p>
      <w:pPr>
        <w:pStyle w:val="null3"/>
      </w:pPr>
      <w:r>
        <w:rPr>
          <w:rFonts w:ascii="仿宋_GB2312" w:hAnsi="仿宋_GB2312" w:cs="仿宋_GB2312" w:eastAsia="仿宋_GB2312"/>
        </w:rPr>
        <w:t>2、财务状况报告：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w:t>
      </w:r>
    </w:p>
    <w:p>
      <w:pPr>
        <w:pStyle w:val="null3"/>
      </w:pPr>
      <w:r>
        <w:rPr>
          <w:rFonts w:ascii="仿宋_GB2312" w:hAnsi="仿宋_GB2312" w:cs="仿宋_GB2312" w:eastAsia="仿宋_GB2312"/>
        </w:rPr>
        <w:t>3、履行本合同所必需的设备和专业技术能力的书面声明：提供具有履行合同所必需的设备和专业技术能力的说明及承诺；</w:t>
      </w:r>
    </w:p>
    <w:p>
      <w:pPr>
        <w:pStyle w:val="null3"/>
      </w:pPr>
      <w:r>
        <w:rPr>
          <w:rFonts w:ascii="仿宋_GB2312" w:hAnsi="仿宋_GB2312" w:cs="仿宋_GB2312" w:eastAsia="仿宋_GB2312"/>
        </w:rPr>
        <w:t>4、税收缴纳证明：提供投标截止时间前六个月内任意一个月的纳税证明或完税证明；（以税款所属期为准，依法免税的应提供相关证明材料）</w:t>
      </w:r>
    </w:p>
    <w:p>
      <w:pPr>
        <w:pStyle w:val="null3"/>
      </w:pPr>
      <w:r>
        <w:rPr>
          <w:rFonts w:ascii="仿宋_GB2312" w:hAnsi="仿宋_GB2312" w:cs="仿宋_GB2312" w:eastAsia="仿宋_GB2312"/>
        </w:rPr>
        <w:t>5、社会保障资金缴纳证明：供应商提供本单位2025年至今已缴纳的至少一个月的社会保障资金缴存单据或社保机构开具的社会保险参保缴费情况证明；（依法不需要缴纳社会保障资金的供应商应提供相关证明）</w:t>
      </w:r>
    </w:p>
    <w:p>
      <w:pPr>
        <w:pStyle w:val="null3"/>
      </w:pPr>
      <w:r>
        <w:rPr>
          <w:rFonts w:ascii="仿宋_GB2312" w:hAnsi="仿宋_GB2312" w:cs="仿宋_GB2312" w:eastAsia="仿宋_GB2312"/>
        </w:rPr>
        <w:t>6、无重大违法记录声明：提供参加政府采购活动前三年内在经营活动中没有重大违法记录的书面声明；</w:t>
      </w:r>
    </w:p>
    <w:p>
      <w:pPr>
        <w:pStyle w:val="null3"/>
      </w:pPr>
      <w:r>
        <w:rPr>
          <w:rFonts w:ascii="仿宋_GB2312" w:hAnsi="仿宋_GB2312" w:cs="仿宋_GB2312" w:eastAsia="仿宋_GB2312"/>
        </w:rPr>
        <w:t>7、法定代表人身份证明或法定代表人授权委托书：法定代表人直接参加磋商时须提交法定代表人身份证明书；法定代表人授权代表参加磋商的，须出具授权书、被授权人身份证及委托人在近3个月内任意一个月缴纳的养老保险证明原件；</w:t>
      </w:r>
    </w:p>
    <w:p>
      <w:pPr>
        <w:pStyle w:val="null3"/>
      </w:pPr>
      <w:r>
        <w:rPr>
          <w:rFonts w:ascii="仿宋_GB2312" w:hAnsi="仿宋_GB2312" w:cs="仿宋_GB2312" w:eastAsia="仿宋_GB2312"/>
        </w:rPr>
        <w:t>8、信誉要求：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9、资质要求：具有市政公用工程施工总承包三级及以上资质；</w:t>
      </w:r>
    </w:p>
    <w:p>
      <w:pPr>
        <w:pStyle w:val="null3"/>
      </w:pPr>
      <w:r>
        <w:rPr>
          <w:rFonts w:ascii="仿宋_GB2312" w:hAnsi="仿宋_GB2312" w:cs="仿宋_GB2312" w:eastAsia="仿宋_GB2312"/>
        </w:rPr>
        <w:t>10、安全生产许可证：具有有效的安全生产许可证；</w:t>
      </w:r>
    </w:p>
    <w:p>
      <w:pPr>
        <w:pStyle w:val="null3"/>
      </w:pPr>
      <w:r>
        <w:rPr>
          <w:rFonts w:ascii="仿宋_GB2312" w:hAnsi="仿宋_GB2312" w:cs="仿宋_GB2312" w:eastAsia="仿宋_GB2312"/>
        </w:rPr>
        <w:t>11、项目经理：项目经理必须具有市政公用工程专业二级及以上注册建造师执业资格和有效的安全生产考核合格证书，且未担任其他在建工程的项目经理；</w:t>
      </w:r>
    </w:p>
    <w:p>
      <w:pPr>
        <w:pStyle w:val="null3"/>
      </w:pPr>
      <w:r>
        <w:rPr>
          <w:rFonts w:ascii="仿宋_GB2312" w:hAnsi="仿宋_GB2312" w:cs="仿宋_GB2312" w:eastAsia="仿宋_GB2312"/>
        </w:rPr>
        <w:t>12、控股、管理关系：单位负责人为同一人或者存在直接控股、管理关系的不同供应商，不得参加同一合同项下的政府采购活动；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澄城县寺前镇人民政府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陕西省渭南市澄城县寺前镇街道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徐占成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18909132508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陕西大用项目管理有限公司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西安市雁塔区西三爻村长丰园小区I区1幢C单元11层1110室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武紫艺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17609244531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澄城县政府采购管理股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王晓锋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15594255525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开户名称：陕西大用项目管理有限公司</w:t>
            </w:r>
          </w:p>
          <w:p>
            <w:pPr>
              <w:pStyle w:val="null3"/>
            </w:pPr>
            <w:r>
              <w:rPr>
                <w:rFonts w:ascii="仿宋_GB2312" w:hAnsi="仿宋_GB2312" w:cs="仿宋_GB2312" w:eastAsia="仿宋_GB2312"/>
              </w:rPr>
              <w:t>开户银行：陕西秦农农村商业银行股份有限公司长丰园支行</w:t>
            </w:r>
          </w:p>
          <w:p>
            <w:pPr>
              <w:pStyle w:val="null3"/>
            </w:pPr>
            <w:r>
              <w:rPr>
                <w:rFonts w:ascii="仿宋_GB2312" w:hAnsi="仿宋_GB2312" w:cs="仿宋_GB2312" w:eastAsia="仿宋_GB2312"/>
              </w:rPr>
              <w:t>银行账号：2701028301201000033857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招标代理服务收费管理暂行办法》（计价格[2002]1980号）、《国家发展改革委关于降低部分建设项目收费标准规范收费行为等有关问题的通知》（发改价格[2011]534号）、依据国家发展改革委员会办公厅颁发的《关于招标代理服务收费有关问题的通知》（发改办价格[2003]857号）规定计取，由中标（成交）人支付，中标（成交）人在领取《中标通知书》之前，应当向代理机构交纳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澄城县寺前镇人民政府</w:t>
      </w:r>
      <w:r>
        <w:rPr>
          <w:rFonts w:ascii="仿宋_GB2312" w:hAnsi="仿宋_GB2312" w:cs="仿宋_GB2312" w:eastAsia="仿宋_GB2312"/>
        </w:rPr>
        <w:t>和</w:t>
      </w:r>
      <w:r>
        <w:rPr>
          <w:rFonts w:ascii="仿宋_GB2312" w:hAnsi="仿宋_GB2312" w:cs="仿宋_GB2312" w:eastAsia="仿宋_GB2312"/>
        </w:rPr>
        <w:t>陕西大用项目管理有限公司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澄城县寺前镇人民政府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陕西大用项目管理有限公司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澄城县寺前镇人民政府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陕西大用项目管理有限公司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达到国家质量验收合格标准。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联系人：武紫艺</w:t>
      </w:r>
    </w:p>
    <w:p>
      <w:pPr>
        <w:pStyle w:val="null3"/>
      </w:pPr>
      <w:r>
        <w:rPr>
          <w:rFonts w:ascii="仿宋_GB2312" w:hAnsi="仿宋_GB2312" w:cs="仿宋_GB2312" w:eastAsia="仿宋_GB2312"/>
        </w:rPr>
        <w:t>联系电话：17609244531</w:t>
      </w:r>
    </w:p>
    <w:p>
      <w:pPr>
        <w:pStyle w:val="null3"/>
      </w:pPr>
      <w:r>
        <w:rPr>
          <w:rFonts w:ascii="仿宋_GB2312" w:hAnsi="仿宋_GB2312" w:cs="仿宋_GB2312" w:eastAsia="仿宋_GB2312"/>
        </w:rPr>
        <w:t>地址：西安市雁塔区西三爻村长丰园小区I区1幢C单元11层1110室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1,350,000.00</w:t>
      </w:r>
    </w:p>
    <w:p>
      <w:pPr>
        <w:pStyle w:val="null3"/>
      </w:pPr>
      <w:r>
        <w:rPr>
          <w:rFonts w:ascii="仿宋_GB2312" w:hAnsi="仿宋_GB2312" w:cs="仿宋_GB2312" w:eastAsia="仿宋_GB2312"/>
        </w:rPr>
        <w:t>采购包最高限价（元）: 1,350,000.00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寺前镇镇域基础设施建设项目（一期）</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标的名称：寺前镇镇域基础设施建设项目（一期）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b/>
              </w:rPr>
              <w:t>一、项目概况</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1）项目名称：</w:t>
            </w:r>
            <w:r>
              <w:rPr>
                <w:rFonts w:ascii="仿宋_GB2312" w:hAnsi="仿宋_GB2312" w:cs="仿宋_GB2312" w:eastAsia="仿宋_GB2312"/>
                <w:sz w:val="28"/>
              </w:rPr>
              <w:t>寺前镇镇域基础设施建设项目（一期）</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2）工程内容：</w:t>
            </w:r>
            <w:r>
              <w:rPr>
                <w:rFonts w:ascii="仿宋_GB2312" w:hAnsi="仿宋_GB2312" w:cs="仿宋_GB2312" w:eastAsia="仿宋_GB2312"/>
                <w:sz w:val="28"/>
              </w:rPr>
              <w:t>铺设寺前镇街区主街道、东环路等道路沥青路面</w:t>
            </w:r>
            <w:r>
              <w:rPr>
                <w:rFonts w:ascii="仿宋_GB2312" w:hAnsi="仿宋_GB2312" w:cs="仿宋_GB2312" w:eastAsia="仿宋_GB2312"/>
                <w:sz w:val="28"/>
              </w:rPr>
              <w:t>10500平方及其配套设施。</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3）工期：</w:t>
            </w:r>
            <w:r>
              <w:rPr>
                <w:rFonts w:ascii="仿宋_GB2312" w:hAnsi="仿宋_GB2312" w:cs="仿宋_GB2312" w:eastAsia="仿宋_GB2312"/>
                <w:sz w:val="28"/>
              </w:rPr>
              <w:t>自合同签订之日起</w:t>
            </w:r>
            <w:r>
              <w:rPr>
                <w:rFonts w:ascii="仿宋_GB2312" w:hAnsi="仿宋_GB2312" w:cs="仿宋_GB2312" w:eastAsia="仿宋_GB2312"/>
                <w:sz w:val="28"/>
              </w:rPr>
              <w:t>120日历天</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4）工程地点：</w:t>
            </w:r>
            <w:r>
              <w:rPr>
                <w:rFonts w:ascii="仿宋_GB2312" w:hAnsi="仿宋_GB2312" w:cs="仿宋_GB2312" w:eastAsia="仿宋_GB2312"/>
                <w:sz w:val="28"/>
              </w:rPr>
              <w:t>渭南市澄城县寺前镇</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5）质量要求：符合国家现行有关施工质量验收规范要求“合格”标准。</w:t>
            </w:r>
          </w:p>
          <w:p>
            <w:pPr>
              <w:pStyle w:val="null3"/>
              <w:jc w:val="both"/>
            </w:pPr>
            <w:r>
              <w:rPr>
                <w:rFonts w:ascii="仿宋_GB2312" w:hAnsi="仿宋_GB2312" w:cs="仿宋_GB2312" w:eastAsia="仿宋_GB2312"/>
                <w:sz w:val="28"/>
                <w:b/>
              </w:rPr>
              <w:t>二、编制依据</w:t>
            </w:r>
          </w:p>
          <w:p>
            <w:pPr>
              <w:pStyle w:val="null3"/>
              <w:jc w:val="both"/>
            </w:pPr>
            <w:r>
              <w:rPr>
                <w:rFonts w:ascii="仿宋_GB2312" w:hAnsi="仿宋_GB2312" w:cs="仿宋_GB2312" w:eastAsia="仿宋_GB2312"/>
                <w:sz w:val="28"/>
              </w:rPr>
              <w:t>1、依据设计图纸、现场实际情况及相关规范标准要求。</w:t>
            </w:r>
          </w:p>
          <w:p>
            <w:pPr>
              <w:pStyle w:val="null3"/>
              <w:jc w:val="both"/>
            </w:pPr>
            <w:r>
              <w:rPr>
                <w:rFonts w:ascii="仿宋_GB2312" w:hAnsi="仿宋_GB2312" w:cs="仿宋_GB2312" w:eastAsia="仿宋_GB2312"/>
                <w:sz w:val="28"/>
              </w:rPr>
              <w:t><![CDATA[2、本工程执行<<陕西省建设工程工程量清单计价标准>>DB 61/T5126-2025、<<陕西省市政工程工程量计算标准>>DB 61/T5128-2025、<<陕西省园林绿化工程工程量计算标准>>DB 61/T5131-2025、<<陕西省建设工程费用规则(2025)>>、<<陕西省市政工程基价表(2025)>>、<<陕西省园林绿化工程基价表(2025)>>、<<陕西省市政工程消耗量定额(2025)>>、<<陕西省园林绿化工程消耗量定额(2025)>>及相关配套文件。]]></w:t>
            </w:r>
          </w:p>
          <w:p>
            <w:pPr>
              <w:pStyle w:val="null3"/>
              <w:jc w:val="both"/>
            </w:pPr>
            <w:r>
              <w:rPr>
                <w:rFonts w:ascii="仿宋_GB2312" w:hAnsi="仿宋_GB2312" w:cs="仿宋_GB2312" w:eastAsia="仿宋_GB2312"/>
                <w:sz w:val="28"/>
              </w:rPr>
              <w:t>3、材料价按2025年第四期的&lt;&lt;渭南市建设工程材料信息价&gt;&gt;及市场价计入。</w:t>
            </w:r>
          </w:p>
          <w:p>
            <w:pPr>
              <w:pStyle w:val="null3"/>
              <w:jc w:val="both"/>
            </w:pPr>
            <w:r>
              <w:rPr>
                <w:rFonts w:ascii="仿宋_GB2312" w:hAnsi="仿宋_GB2312" w:cs="仿宋_GB2312" w:eastAsia="仿宋_GB2312"/>
                <w:sz w:val="28"/>
              </w:rPr>
              <w:t>4、建筑工程人工费执行&lt;&lt;陕西省市政工程基价表(2025)&gt;&gt;、&lt;&lt;陕西省园林绿化工程基价表(2025)&gt;&gt;相对应人工费。</w:t>
            </w:r>
          </w:p>
          <w:p>
            <w:pPr>
              <w:pStyle w:val="null3"/>
              <w:jc w:val="both"/>
            </w:pPr>
            <w:r>
              <w:rPr>
                <w:rFonts w:ascii="仿宋_GB2312" w:hAnsi="仿宋_GB2312" w:cs="仿宋_GB2312" w:eastAsia="仿宋_GB2312"/>
                <w:sz w:val="28"/>
              </w:rPr>
              <w:t>5、本工程为含税工程造价。</w:t>
            </w:r>
          </w:p>
          <w:p>
            <w:pPr>
              <w:pStyle w:val="null3"/>
              <w:jc w:val="left"/>
            </w:pPr>
            <w:r>
              <w:rPr>
                <w:rFonts w:ascii="仿宋_GB2312" w:hAnsi="仿宋_GB2312" w:cs="仿宋_GB2312" w:eastAsia="仿宋_GB2312"/>
                <w:sz w:val="28"/>
                <w:b/>
              </w:rPr>
              <w:t>三、其他说明</w:t>
            </w:r>
          </w:p>
          <w:p>
            <w:pPr>
              <w:pStyle w:val="null3"/>
              <w:jc w:val="left"/>
            </w:pPr>
            <w:r>
              <w:rPr>
                <w:rFonts w:ascii="仿宋_GB2312" w:hAnsi="仿宋_GB2312" w:cs="仿宋_GB2312" w:eastAsia="仿宋_GB2312"/>
                <w:sz w:val="28"/>
              </w:rPr>
              <w:t>1、工程量清单计价软件采用广联达工程量清单计价软件一广联达云计价平台GCCP7.0(版本号:7.5000.23.2)。</w:t>
            </w:r>
          </w:p>
          <w:p>
            <w:pPr>
              <w:pStyle w:val="null3"/>
              <w:jc w:val="left"/>
            </w:pPr>
            <w:r>
              <w:rPr>
                <w:rFonts w:ascii="仿宋_GB2312" w:hAnsi="仿宋_GB2312" w:cs="仿宋_GB2312" w:eastAsia="仿宋_GB2312"/>
                <w:sz w:val="28"/>
              </w:rPr>
              <w:t>2、需满足的要求:</w:t>
            </w:r>
          </w:p>
          <w:p>
            <w:pPr>
              <w:pStyle w:val="null3"/>
              <w:ind w:firstLine="560"/>
              <w:jc w:val="left"/>
            </w:pPr>
            <w:r>
              <w:rPr>
                <w:rFonts w:ascii="仿宋_GB2312" w:hAnsi="仿宋_GB2312" w:cs="仿宋_GB2312" w:eastAsia="仿宋_GB2312"/>
                <w:sz w:val="28"/>
              </w:rPr>
              <w:t>(1)沥青铺设核心要求。</w:t>
            </w:r>
            <w:r>
              <w:rPr>
                <w:rFonts w:ascii="仿宋_GB2312" w:hAnsi="仿宋_GB2312" w:cs="仿宋_GB2312" w:eastAsia="仿宋_GB2312"/>
                <w:sz w:val="28"/>
              </w:rPr>
              <w:t>①</w:t>
            </w:r>
            <w:r>
              <w:rPr>
                <w:rFonts w:ascii="仿宋_GB2312" w:hAnsi="仿宋_GB2312" w:cs="仿宋_GB2312" w:eastAsia="仿宋_GB2312"/>
                <w:sz w:val="28"/>
              </w:rPr>
              <w:t>安全性能</w:t>
            </w:r>
            <w:r>
              <w:rPr>
                <w:rFonts w:ascii="仿宋_GB2312" w:hAnsi="仿宋_GB2312" w:cs="仿宋_GB2312" w:eastAsia="仿宋_GB2312"/>
                <w:sz w:val="28"/>
              </w:rPr>
              <w:t>:路面平整度达标，抗滑系数符合城镇道路标准；</w:t>
            </w:r>
            <w:r>
              <w:rPr>
                <w:rFonts w:ascii="仿宋_GB2312" w:hAnsi="仿宋_GB2312" w:cs="仿宋_GB2312" w:eastAsia="仿宋_GB2312"/>
                <w:sz w:val="28"/>
              </w:rPr>
              <w:t>②</w:t>
            </w:r>
            <w:r>
              <w:rPr>
                <w:rFonts w:ascii="仿宋_GB2312" w:hAnsi="仿宋_GB2312" w:cs="仿宋_GB2312" w:eastAsia="仿宋_GB2312"/>
                <w:sz w:val="28"/>
              </w:rPr>
              <w:t>结构耐用</w:t>
            </w:r>
            <w:r>
              <w:rPr>
                <w:rFonts w:ascii="仿宋_GB2312" w:hAnsi="仿宋_GB2312" w:cs="仿宋_GB2312" w:eastAsia="仿宋_GB2312"/>
                <w:sz w:val="28"/>
              </w:rPr>
              <w:t>:基层压实度足够，能承受镇区日常车流，抗裂、抗老化；</w:t>
            </w:r>
            <w:r>
              <w:rPr>
                <w:rFonts w:ascii="仿宋_GB2312" w:hAnsi="仿宋_GB2312" w:cs="仿宋_GB2312" w:eastAsia="仿宋_GB2312"/>
                <w:sz w:val="28"/>
              </w:rPr>
              <w:t>③</w:t>
            </w:r>
            <w:r>
              <w:rPr>
                <w:rFonts w:ascii="仿宋_GB2312" w:hAnsi="仿宋_GB2312" w:cs="仿宋_GB2312" w:eastAsia="仿宋_GB2312"/>
                <w:sz w:val="28"/>
              </w:rPr>
              <w:t>合规环保</w:t>
            </w:r>
            <w:r>
              <w:rPr>
                <w:rFonts w:ascii="仿宋_GB2312" w:hAnsi="仿宋_GB2312" w:cs="仿宋_GB2312" w:eastAsia="仿宋_GB2312"/>
                <w:sz w:val="28"/>
              </w:rPr>
              <w:t>:采用改性沥青,施工时降噪防尘,符合当地环保排放标准。</w:t>
            </w:r>
          </w:p>
          <w:p>
            <w:pPr>
              <w:pStyle w:val="null3"/>
              <w:ind w:firstLine="560"/>
              <w:jc w:val="left"/>
            </w:pPr>
            <w:r>
              <w:rPr>
                <w:rFonts w:ascii="仿宋_GB2312" w:hAnsi="仿宋_GB2312" w:cs="仿宋_GB2312" w:eastAsia="仿宋_GB2312"/>
                <w:sz w:val="28"/>
              </w:rPr>
              <w:t>(2)绿化种植核心要求。</w:t>
            </w:r>
            <w:r>
              <w:rPr>
                <w:rFonts w:ascii="仿宋_GB2312" w:hAnsi="仿宋_GB2312" w:cs="仿宋_GB2312" w:eastAsia="仿宋_GB2312"/>
                <w:sz w:val="28"/>
              </w:rPr>
              <w:t>①</w:t>
            </w:r>
            <w:r>
              <w:rPr>
                <w:rFonts w:ascii="仿宋_GB2312" w:hAnsi="仿宋_GB2312" w:cs="仿宋_GB2312" w:eastAsia="仿宋_GB2312"/>
                <w:sz w:val="28"/>
              </w:rPr>
              <w:t>生态实用</w:t>
            </w:r>
            <w:r>
              <w:rPr>
                <w:rFonts w:ascii="仿宋_GB2312" w:hAnsi="仿宋_GB2312" w:cs="仿宋_GB2312" w:eastAsia="仿宋_GB2312"/>
                <w:sz w:val="28"/>
              </w:rPr>
              <w:t>:优先选乡土树种,具备降噪、滞尘功能；</w:t>
            </w:r>
            <w:r>
              <w:rPr>
                <w:rFonts w:ascii="仿宋_GB2312" w:hAnsi="仿宋_GB2312" w:cs="仿宋_GB2312" w:eastAsia="仿宋_GB2312"/>
                <w:sz w:val="28"/>
              </w:rPr>
              <w:t>②</w:t>
            </w:r>
            <w:r>
              <w:rPr>
                <w:rFonts w:ascii="仿宋_GB2312" w:hAnsi="仿宋_GB2312" w:cs="仿宋_GB2312" w:eastAsia="仿宋_GB2312"/>
                <w:sz w:val="28"/>
              </w:rPr>
              <w:t>管护便捷</w:t>
            </w:r>
            <w:r>
              <w:rPr>
                <w:rFonts w:ascii="仿宋_GB2312" w:hAnsi="仿宋_GB2312" w:cs="仿宋_GB2312" w:eastAsia="仿宋_GB2312"/>
                <w:sz w:val="28"/>
              </w:rPr>
              <w:t>:苗木规格适中,种植密度合理，预留管护通道，搭配节水灌溉系统；</w:t>
            </w:r>
            <w:r>
              <w:rPr>
                <w:rFonts w:ascii="仿宋_GB2312" w:hAnsi="仿宋_GB2312" w:cs="仿宋_GB2312" w:eastAsia="仿宋_GB2312"/>
                <w:sz w:val="28"/>
              </w:rPr>
              <w:t>③</w:t>
            </w:r>
            <w:r>
              <w:rPr>
                <w:rFonts w:ascii="仿宋_GB2312" w:hAnsi="仿宋_GB2312" w:cs="仿宋_GB2312" w:eastAsia="仿宋_GB2312"/>
                <w:sz w:val="28"/>
              </w:rPr>
              <w:t>景观协调</w:t>
            </w:r>
            <w:r>
              <w:rPr>
                <w:rFonts w:ascii="仿宋_GB2312" w:hAnsi="仿宋_GB2312" w:cs="仿宋_GB2312" w:eastAsia="仿宋_GB2312"/>
                <w:sz w:val="28"/>
              </w:rPr>
              <w:t>:与镇区整体风格统一，路口、节点可适当配置花灌木或造型植物，避免单一品种，兼顾四季景观。</w:t>
            </w:r>
          </w:p>
          <w:p>
            <w:pPr>
              <w:pStyle w:val="null3"/>
              <w:ind w:firstLine="560"/>
              <w:jc w:val="left"/>
            </w:pPr>
            <w:r>
              <w:rPr>
                <w:rFonts w:ascii="仿宋_GB2312" w:hAnsi="仿宋_GB2312" w:cs="仿宋_GB2312" w:eastAsia="仿宋_GB2312"/>
                <w:sz w:val="28"/>
              </w:rPr>
              <w:t>3、核心结论:沥青铺设以安全通行、耐用承载为核心功能，绿化以生态改善、景观协调为核心功能，最终目标是打造"安全、宜居、可持续"的镇区街道环境。</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《建筑工程施工质量验收统一标准》（GB50300-2013）等相关法律法规及采购人要求。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详见施工合同</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成交人在领取成交通知书前，须向采购代理机构提供纸质版响应文件3套（一正两副），且提供的响应文件必须与在陕西省政府采购综合管理平台的项目电子化交易系统中递交的电子响应文件内容一致，纸质版响应文件必须装订成 册签字盖章。2.如采购文件中融资相关内容与新政策要求有出入，按照最新要求执行。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具有独立承担民事责任能力，提供供应商合法注册的法人或其他组织的营业执照；</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履行本合同所必需的设备和专业技术能力的书面声明</w:t>
            </w:r>
          </w:p>
        </w:tc>
        <w:tc>
          <w:tcPr>
            <w:tcW w:type="dxa" w:w="3322"/>
          </w:tcPr>
          <w:p>
            <w:pPr>
              <w:pStyle w:val="null3"/>
            </w:pPr>
            <w:r>
              <w:rPr>
                <w:rFonts w:ascii="仿宋_GB2312" w:hAnsi="仿宋_GB2312" w:cs="仿宋_GB2312" w:eastAsia="仿宋_GB2312"/>
              </w:rPr>
              <w:t>提供具有履行合同所必需的设备和专业技术能力的说明及承诺；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提供投标截止时间前六个月内任意一个月的纳税证明或完税证明；（以税款所属期为准，依法免税的应提供相关证明材料）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供应商提供本单位2025年至今已缴纳的至少一个月的社会保障资金缴存单据或社保机构开具的社会保险参保缴费情况证明；（依法不需要缴纳社会保障资金的供应商应提供相关证明）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法定代表人直接参加磋商时须提交法定代表人身份证明书；法定代表人授权代表参加磋商的，须出具授权书、被授权人身份证及委托人在近3个月内任意一个月缴纳的养老保险证明原件；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具有市政公用工程施工总承包三级及以上资质；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项目经理必须具有市政公用工程专业二级及以上注册建造师执业资格和有效的安全生产考核合格证书，且未担任其他在建工程的项目经理；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只能有一个有效最终报价，不得提交选择性报价，且报价不超过采购预算金额。</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应满足磋商文件的要求。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响应文件符合采购文件签署盖章要求。</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资格证明文件.docx 强制优先采购产品承诺函 响应文件封面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出入口管理、交通组织安排、消防及道路安排。二、评审标准 1、完整性：方案必须全面，对评审内容中的各项要求有详细描述； 2、可实施性：切合本项目实际情况，提出步骤清晰、合理的方案；3、针对性：方案能够紧扣项目实际情况，内容科学合理。三、赋分标准：方案各部分内容全面详细、阐述条理清晰详尽、符合本项目采购需求得9分，每缺一项内容扣3分，评审内容有瑕疵的根据情况扣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施工技术方案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1、完整性：方案必须全面，对评审内容中的各项要求有详细描述；2、可实施性：切合本项目实际情况，提出步骤清晰、合理的方案； 3、针对性：方案能够紧扣项目实际情况，内容科学合理。 三、赋分标准：技术方案各部分内容全面详细、阐述条理清晰详尽、符合本项目采购需求得9分，每缺一项内容扣3分，评审内容有瑕疵的根据情况扣分，扣完为止。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供应商针对本项目编制完善的质量保证措施，内容包含：①质量目标管理体系②施工质量的检验制度③确保质量的技术组织措施④施工质量控制措施。二、评审标准 1、完整性：方案必须全面，对评审内容中的各项要求有详细描述； 2、可实施性：切合本项目实际情况，提出步骤清晰、合理的方案； 3、针对性：方案能够紧扣项目实际情况，内容科学合理。 三、赋分标准 保证措施各部分内容全面详细、阐述条理清晰详尽、符合本项目采购需求得8分，每缺一项内容扣2分，评审内容有瑕疵的根据情况扣分，扣完为止。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供应商针对本项目编制完整的安全文明施工措施，内容包含：①安全文明生产管理制度②安全文明施工措施③安全应急预案④安全生产教育。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3、针对性：方案能够紧扣项目实际情况，内容科学合理。三、赋分标准 各项措施各部分内容全面详细、阐述条理清晰详尽、符合本项目采购需求得8分，每缺一项内容扣2分，评审内容有瑕疵的根据情况扣分，扣完为止。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供应商针对本项目编制完善的施工进度计划，内容包含：①施工进度计划横道图②进度计划保证措施③工期保证措施。二、评审标准 1、完整性：方案必须全面，对评审内容中的各项要求有详细描述； 2、可实施性：切合本项目实际情况，提出步骤清晰、合理的方案； 3、针对性：方案能够紧扣项目实际情况，内容科学合理。 三、赋分标准 各部分内容全面详细、阐述条理清晰详尽、符合本项目采购需求得6分，每缺一项内容扣2分，评审内容有瑕疵的根据情况扣分，扣完为止。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1、完整性：方案必须全面，对评审内容中的各项要求有详细描述；2、可实施性：切合本项目实际情况，提出步骤清晰、合理的方案； 3、针对性：方案能够紧扣项目实际情况，内容科学合理。 三、赋分标准 各部分内容全面详细、阐述条理清晰详尽、符合本项目采购需求得5分，每缺一项内容扣2.5分，评审内容有瑕疵的根据情况扣分，扣完为止。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 各部分内容全面详细、阐述条理清晰详尽、符合本项目采购需求得8分，每缺一项内容扣4分，评审内容有瑕疵的根据情况扣分，扣完为止。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一、评审内容 根据供应商的服务能力、服务体系 、服务范围以及故障解决方案、响应时间、应急处理方案、售后方案以及工程保修承诺书等。二、评审标准 1、完整性：内容必须全面，对评审内容中的各项要求有详细描述； 2、可实施性：切合本项目实际情况，提出步骤清晰、合理的方案； 3、针对性：方案能够紧扣项目实际情况，内容科学合理。三、赋分标准 各部分内容全面详细、阐述条理清晰详尽、符合本项目采购需求得2分，评审内容有瑕疵的根据情况扣分，扣完为止。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2023 年 1 月至今（以合同签订日期为准）具有类似项目业绩的，每有 1 项计 2 分，最多得10分；未提供不计分。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满足采购文件内容及技术要求且磋商报价最低的投标价为评标基准价 ，其价格分为满分。 磋商报价得分 =（评标基准价／投标报价）×价格权值×100。</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