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版本号：ZDGC-ZC-260110620260311001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澄城县综合防灾能力建设项目实施方案编制与深化设计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ZDGC-ZC-2601106</w:t>
      </w:r>
      <w:r>
        <w:br/>
      </w:r>
      <w:r>
        <w:br/>
      </w:r>
      <w:r>
        <w:br/>
      </w:r>
    </w:p>
    <w:p>
      <w:pPr>
        <w:pStyle w:val="null3"/>
        <w:jc w:val="center"/>
        <w:outlineLvl w:val="2"/>
      </w:pPr>
      <w:r>
        <w:rPr>
          <w:rFonts w:ascii="仿宋_GB2312" w:hAnsi="仿宋_GB2312" w:cs="仿宋_GB2312" w:eastAsia="仿宋_GB2312"/>
          <w:sz w:val="28"/>
          <w:b/>
        </w:rPr>
        <w:t>澄城县应急管理局</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澄城县应急管理局</w:t>
      </w:r>
      <w:r>
        <w:rPr>
          <w:rFonts w:ascii="仿宋_GB2312" w:hAnsi="仿宋_GB2312" w:cs="仿宋_GB2312" w:eastAsia="仿宋_GB2312"/>
        </w:rPr>
        <w:t>委托，拟对</w:t>
      </w:r>
      <w:r>
        <w:rPr>
          <w:rFonts w:ascii="仿宋_GB2312" w:hAnsi="仿宋_GB2312" w:cs="仿宋_GB2312" w:eastAsia="仿宋_GB2312"/>
        </w:rPr>
        <w:t>澄城县综合防灾能力建设项目实施方案编制与深化设计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ZDGC-ZC-2601106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澄城县综合防灾能力建设项目实施方案编制与深化设计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为提高自然灾害防治能力，着力强化基层应急基础和力量，进一步提高基层综合防灾能力，开展澄城县综合防灾能力建设项目实施方案和初步设计方案编制。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w:t>
      </w:r>
    </w:p>
    <w:p>
      <w:pPr>
        <w:pStyle w:val="null3"/>
      </w:pPr>
      <w:r>
        <w:rPr>
          <w:rFonts w:ascii="仿宋_GB2312" w:hAnsi="仿宋_GB2312" w:cs="仿宋_GB2312" w:eastAsia="仿宋_GB2312"/>
        </w:rPr>
        <w:t>2、财务报告：提供2024年度或2025年度经审计的财务报告（包含审计报告和审计报告中所涉及的财务报表和报表附注）；或提供2024年度或2025年度完整的全套财务报表（应当包括资产负债表、利润表、现金流量表、所有者权益变动表、附注）；或响应文件递交截止时间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3、税收缴纳证明：提供响应文件递交截止时间前六个月内任意一个月的纳税证明或完税证明（以税款所属期为准，依法免税的应提供相关证明材料）。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4、社会保障资金缴纳证明：提供响应文件递交截止时间前六个月内任意一个月的社会保障资金缴存单据或社保机构开具的社会保险参保缴费情况证明（以税款所属期为准，依法免税的应提供相关证明材料）。</w:t>
      </w:r>
    </w:p>
    <w:p>
      <w:pPr>
        <w:pStyle w:val="null3"/>
      </w:pPr>
      <w:r>
        <w:rPr>
          <w:rFonts w:ascii="仿宋_GB2312" w:hAnsi="仿宋_GB2312" w:cs="仿宋_GB2312" w:eastAsia="仿宋_GB2312"/>
        </w:rPr>
        <w:t>5、设备和技术能力承诺：提供具有履行合同所必需的设备和专业技术能力的说明及承诺（格式自拟，加盖供应商公章）。</w:t>
      </w:r>
    </w:p>
    <w:p>
      <w:pPr>
        <w:pStyle w:val="null3"/>
      </w:pPr>
      <w:r>
        <w:rPr>
          <w:rFonts w:ascii="仿宋_GB2312" w:hAnsi="仿宋_GB2312" w:cs="仿宋_GB2312" w:eastAsia="仿宋_GB2312"/>
        </w:rPr>
        <w:t>6、三年无重大声明：提供参加政府采购活动前三年内在经营活动中没有重大违法记录的书面声明（详见附件，加盖供应商公章）。</w:t>
      </w:r>
    </w:p>
    <w:p>
      <w:pPr>
        <w:pStyle w:val="null3"/>
      </w:pPr>
      <w:r>
        <w:rPr>
          <w:rFonts w:ascii="仿宋_GB2312" w:hAnsi="仿宋_GB2312" w:cs="仿宋_GB2312" w:eastAsia="仿宋_GB2312"/>
        </w:rPr>
        <w:t>7、企业资质：供应商应具备工程设计综合甲级资质或建筑行业(建筑工程)甲级资质，项目负责人须具备相关专业中级或以上职称。</w:t>
      </w:r>
    </w:p>
    <w:p>
      <w:pPr>
        <w:pStyle w:val="null3"/>
      </w:pPr>
      <w:r>
        <w:rPr>
          <w:rFonts w:ascii="仿宋_GB2312" w:hAnsi="仿宋_GB2312" w:cs="仿宋_GB2312" w:eastAsia="仿宋_GB2312"/>
        </w:rPr>
        <w:t>8、法定代表人授权书：法定代表人授权书（附法人身份证正反面及被授权人身份证正反面），法定代表人直接参加的提供身份证明。</w:t>
      </w:r>
    </w:p>
    <w:p>
      <w:pPr>
        <w:pStyle w:val="null3"/>
      </w:pPr>
      <w:r>
        <w:rPr>
          <w:rFonts w:ascii="仿宋_GB2312" w:hAnsi="仿宋_GB2312" w:cs="仿宋_GB2312" w:eastAsia="仿宋_GB2312"/>
        </w:rPr>
        <w:t>9、信用情况：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范围为获取采购文件后至响应文件递交截止时间，并加盖供应商公章）。</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10、控股、管理关系：单位负责人为同一人或者存在直接控股、管理关系的不同供应商，不得参加同一合同项下的政府采购活动（提供书面承诺函，格式自拟加盖供应商公章）。</w:t>
      </w:r>
    </w:p>
    <w:p>
      <w:pPr>
        <w:pStyle w:val="null3"/>
      </w:pPr>
      <w:r>
        <w:rPr>
          <w:rFonts w:ascii="仿宋_GB2312" w:hAnsi="仿宋_GB2312" w:cs="仿宋_GB2312" w:eastAsia="仿宋_GB2312"/>
        </w:rPr>
        <w:t>11、非联合体声明：本项目不接受联合体参与。（提供非联合体声明，格式自拟加盖供应商公章）。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陕西省渭南市澄城县西大街13号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澄城县应急管理局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0913-6727122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王凯、康怡悦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收取招标代理服务费。 缴纳账户户名：陕西中达国创项目管理有限公司 开户行：中国农业银行股份有限公司西安南二环支行 账号：26126701040022149 转账备注：项目名称+招标代理服务费 重要提示：代理服务费必须从基本帐户转出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澄城县应急管理局</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服务质量、标准满足国家、行业规定及采购文件相关要求。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联系人：王凯、康怡悦</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地址：陕西省西安市雁塔区朱雀大街南段15号明德盛荟2号楼616室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为提高自然灾害防治能力，着力强化基层应急基础和力量，进一步提高基层综合防灾能力，开展澄城县综合防灾能力建设项目实施方案和初步设计方案编制。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澄城县综合防灾能力建设项目实施方案编制与深化设计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标的名称：澄城县综合防灾能力建设项目实施方案编制与深化设计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color w:val="000000"/>
              </w:rPr>
              <w:t>1、服务项目概况：</w:t>
            </w:r>
          </w:p>
          <w:p>
            <w:pPr>
              <w:pStyle w:val="null3"/>
              <w:ind w:right="-195" w:firstLine="480"/>
              <w:jc w:val="left"/>
            </w:pPr>
            <w:r>
              <w:rPr>
                <w:rFonts w:ascii="仿宋_GB2312" w:hAnsi="仿宋_GB2312" w:cs="仿宋_GB2312" w:eastAsia="仿宋_GB2312"/>
                <w:sz w:val="21"/>
                <w:color w:val="000000"/>
                <w:shd w:fill="FFFFFF" w:val="clear"/>
              </w:rPr>
              <w:t>为深入贯彻关于提高自然灾害防治能力的重要指示批示精神，落实《中共中央国务院关于推进防灾减灾救灾体制机制改革的意见》《中共中央办公厅国务院办公厅关于进一步提升基层应急管理能力的意见》等相关部署要求，应急管理部下发《综合防灾能力建设总体方案》《综合防灾能力建设项目入库申报指南》等文件，着力强化基层应急基础和力量，进一步提高基层综合防灾能力。</w:t>
            </w:r>
          </w:p>
          <w:p>
            <w:pPr>
              <w:pStyle w:val="null3"/>
              <w:ind w:right="-195" w:firstLine="480"/>
              <w:jc w:val="left"/>
            </w:pPr>
            <w:r>
              <w:rPr>
                <w:rFonts w:ascii="仿宋_GB2312" w:hAnsi="仿宋_GB2312" w:cs="仿宋_GB2312" w:eastAsia="仿宋_GB2312"/>
                <w:sz w:val="21"/>
                <w:color w:val="000000"/>
                <w:shd w:fill="FFFFFF" w:val="clear"/>
              </w:rPr>
              <w:t>根据自然灾害防治体系建设补助资金管理办法，中央财政主要支持31个省(自治区、直辖市)和新疆生产建设兵团“三高一低”地区(高风险、高致灾、高灾损、低减灾能力地区)，围绕《总体方案》明确的8项建设内容，以县域为整体单元，按照“突出重点、补齐短板”、“夯实基础、完善体系”原则确定的具体建设任务。</w:t>
            </w:r>
          </w:p>
          <w:p>
            <w:pPr>
              <w:pStyle w:val="null3"/>
              <w:ind w:firstLine="640"/>
              <w:jc w:val="both"/>
            </w:pPr>
            <w:r>
              <w:rPr>
                <w:rFonts w:ascii="仿宋_GB2312" w:hAnsi="仿宋_GB2312" w:cs="仿宋_GB2312" w:eastAsia="仿宋_GB2312"/>
                <w:sz w:val="21"/>
                <w:color w:val="000000"/>
              </w:rPr>
              <w:t>2、服务内容</w:t>
            </w:r>
          </w:p>
          <w:p>
            <w:pPr>
              <w:pStyle w:val="null3"/>
              <w:ind w:firstLine="640"/>
              <w:jc w:val="both"/>
            </w:pPr>
            <w:r>
              <w:rPr>
                <w:rFonts w:ascii="仿宋_GB2312" w:hAnsi="仿宋_GB2312" w:cs="仿宋_GB2312" w:eastAsia="仿宋_GB2312"/>
                <w:sz w:val="21"/>
                <w:color w:val="000000"/>
              </w:rPr>
              <w:t>按照《综合防灾能力建设总体方案》《综合防灾能力建设项目入库申报指南》等文件要求，根据《应急管理部办公厅财政部办公厅关于印发综合防灾能力建设项目入库项目清单的通知》要求，开展澄城县综合防灾能力建设项目实施方案和初步设计方案编制，确保成果符合国家、陕西省及澄城县相关规范标准，满足项目立项、审批、招标及施工实施等全流程使用需求。具体服务内容如下：</w:t>
            </w:r>
          </w:p>
          <w:p>
            <w:pPr>
              <w:pStyle w:val="null3"/>
              <w:ind w:firstLine="640"/>
              <w:jc w:val="both"/>
            </w:pPr>
            <w:r>
              <w:rPr>
                <w:rFonts w:ascii="仿宋_GB2312" w:hAnsi="仿宋_GB2312" w:cs="仿宋_GB2312" w:eastAsia="仿宋_GB2312"/>
                <w:sz w:val="21"/>
                <w:color w:val="000000"/>
              </w:rPr>
              <w:t>澄城县综合防灾能力建设项目实施方案：包括但不限于项目调研与分析、实施方案编制、协助申报流程和汇报材料编制等。</w:t>
            </w:r>
          </w:p>
          <w:p>
            <w:pPr>
              <w:pStyle w:val="null3"/>
              <w:ind w:firstLine="640"/>
              <w:jc w:val="both"/>
            </w:pPr>
            <w:r>
              <w:rPr>
                <w:rFonts w:ascii="仿宋_GB2312" w:hAnsi="仿宋_GB2312" w:cs="仿宋_GB2312" w:eastAsia="仿宋_GB2312"/>
                <w:sz w:val="21"/>
                <w:color w:val="000000"/>
              </w:rPr>
              <w:t>澄城县综合防灾能力建设项目初步设计：包括但不限于项目调研与分析、初步设计方案编制、概算编制、协助编制项目开展过程中的汇报、评审等材料，直至项目通过省应急管理厅、省财政厅批复。</w:t>
            </w:r>
          </w:p>
          <w:p>
            <w:pPr>
              <w:pStyle w:val="null3"/>
              <w:ind w:firstLine="640"/>
              <w:jc w:val="both"/>
            </w:pPr>
            <w:r>
              <w:rPr>
                <w:rFonts w:ascii="仿宋_GB2312" w:hAnsi="仿宋_GB2312" w:cs="仿宋_GB2312" w:eastAsia="仿宋_GB2312"/>
                <w:sz w:val="21"/>
                <w:color w:val="000000"/>
              </w:rPr>
              <w:t>3、成果要求</w:t>
            </w:r>
          </w:p>
          <w:p>
            <w:pPr>
              <w:pStyle w:val="null3"/>
              <w:ind w:firstLine="640"/>
              <w:jc w:val="both"/>
            </w:pPr>
            <w:r>
              <w:rPr>
                <w:rFonts w:ascii="仿宋_GB2312" w:hAnsi="仿宋_GB2312" w:cs="仿宋_GB2312" w:eastAsia="仿宋_GB2312"/>
                <w:sz w:val="21"/>
                <w:color w:val="000000"/>
              </w:rPr>
              <w:t>（1）澄城县综合防灾能力建设项目实施方案</w:t>
            </w:r>
          </w:p>
          <w:p>
            <w:pPr>
              <w:pStyle w:val="null3"/>
              <w:ind w:firstLine="640"/>
              <w:jc w:val="both"/>
            </w:pPr>
            <w:r>
              <w:rPr>
                <w:rFonts w:ascii="仿宋_GB2312" w:hAnsi="仿宋_GB2312" w:cs="仿宋_GB2312" w:eastAsia="仿宋_GB2312"/>
                <w:sz w:val="21"/>
                <w:color w:val="000000"/>
              </w:rPr>
              <w:t>（2）澄城县综合防灾能力建设项目初步设计方案及概算</w:t>
            </w:r>
          </w:p>
          <w:p>
            <w:pPr>
              <w:pStyle w:val="null3"/>
              <w:ind w:firstLine="640"/>
              <w:jc w:val="both"/>
            </w:pPr>
            <w:r>
              <w:rPr>
                <w:rFonts w:ascii="仿宋_GB2312" w:hAnsi="仿宋_GB2312" w:cs="仿宋_GB2312" w:eastAsia="仿宋_GB2312"/>
                <w:sz w:val="21"/>
                <w:color w:val="000000"/>
              </w:rPr>
              <w:t>（3）其他过程文档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结合本项目采购内容进行配置，服务质量、标准满足国家、行业规定及采购文件相关要求。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结合本项目采购内容进行配置，服务质量、标准满足国家、行业规定及采购文件相关要求。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自合同签订之日起30日历日完成交付。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验收交付标准：服务质量、标准满足国家、行业规定及采购文件相关要求。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所有成果交付，经验收合格后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合同争议的解决方式：本合同在履行过程中发生争议，由双方协商解决。协商不成的，双方均可通过诉讼方式解决。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成交供应商在中标/成交结果发布后3个工作日内，需提交与电子化平台提交内容一致的签字盖章后的纸质版投标文件，正本壹份、副本壹份，纸质投标文件标明供应商名称。若线上电子投标文件与纸质投标文件不一致的，以线上电子投标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一般资格要求及特殊资格要求.docx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一般资格要求及特殊资格要求.docx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一般资格要求及特殊资格要求.docx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经审计的财务报告（包含审计报告和审计报告中所涉及的财务报表和报表附注）；或提供2024年度或2025年度完整的全套财务报表（应当包括资产负债表、利润表、现金流量表、所有者权益变动表、附注）；或响应文件递交截止时间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提供响应文件递交截止时间前六个月内任意一个月的社会保障资金缴存单据或社保机构开具的社会保险参保缴费情况证明（以税款所属期为准，依法免税的应提供相关证明材料）。</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设备和技术能力承诺</w:t>
            </w:r>
          </w:p>
        </w:tc>
        <w:tc>
          <w:tcPr>
            <w:tcW w:type="dxa" w:w="3322"/>
          </w:tcPr>
          <w:p>
            <w:pPr>
              <w:pStyle w:val="null3"/>
            </w:pPr>
            <w:r>
              <w:rPr>
                <w:rFonts w:ascii="仿宋_GB2312" w:hAnsi="仿宋_GB2312" w:cs="仿宋_GB2312" w:eastAsia="仿宋_GB2312"/>
              </w:rPr>
              <w:t>提供具有履行合同所必需的设备和专业技术能力的说明及承诺（格式自拟，加盖供应商公章）。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三年无重大声明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提供参加政府采购活动前三年内在经营活动中没有重大违法记录的书面声明（详见附件，加盖供应商公章）。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供应商应具备工程设计综合甲级资质或建筑行业(建筑工程)甲级资质，项目负责人须具备相关专业中级或以上职称。</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法定代表人授权书（附法人身份证正反面及被授权人身份证正反面），法定代表人直接参加的提供身份证明。</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范围为获取采购文件后至响应文件递交截止时间，并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本项目不接受联合体参与。（提供非联合体声明，格式自拟加盖供应商公章）。</w:t>
            </w:r>
          </w:p>
        </w:tc>
        <w:tc>
          <w:tcPr>
            <w:tcW w:type="dxa" w:w="1661"/>
          </w:tcPr>
          <w:p>
            <w:pPr>
              <w:pStyle w:val="null3"/>
            </w:pPr>
            <w:r>
              <w:rPr>
                <w:rFonts w:ascii="仿宋_GB2312" w:hAnsi="仿宋_GB2312" w:cs="仿宋_GB2312" w:eastAsia="仿宋_GB2312"/>
              </w:rPr>
              <w:t>一般资格要求及特殊资格要求.docx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报价唯一，且不高于最高限价的。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响应文件构成无重大缺项，按照采购文件要求的格式编写响应文件。</w:t>
            </w:r>
          </w:p>
        </w:tc>
        <w:tc>
          <w:tcPr>
            <w:tcW w:type="dxa" w:w="1661"/>
          </w:tcPr>
          <w:p>
            <w:pPr>
              <w:pStyle w:val="null3"/>
            </w:pPr>
            <w:r>
              <w:rPr>
                <w:rFonts w:ascii="仿宋_GB2312" w:hAnsi="仿宋_GB2312" w:cs="仿宋_GB2312" w:eastAsia="仿宋_GB2312"/>
              </w:rPr>
              <w:t>业绩.docx 中小企业声明函 商务应答表 供应商应提交的相关资格证明材料 服务内容及服务要求应答表 报价表 响应文件封面 一般资格要求及特殊资格要求.docx 项目负责人.docx 残疾人福利性单位声明函 拟派项目人员.docx 总体实施方案.docx 标的清单 管理体系认证.docx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服务期、质量及验收等相关要求响应采购文件要求。</w:t>
            </w:r>
          </w:p>
        </w:tc>
        <w:tc>
          <w:tcPr>
            <w:tcW w:type="dxa" w:w="1661"/>
          </w:tcPr>
          <w:p>
            <w:pPr>
              <w:pStyle w:val="null3"/>
            </w:pPr>
            <w:r>
              <w:rPr>
                <w:rFonts w:ascii="仿宋_GB2312" w:hAnsi="仿宋_GB2312" w:cs="仿宋_GB2312" w:eastAsia="仿宋_GB2312"/>
              </w:rPr>
              <w:t>业绩.docx 中小企业声明函 商务应答表 供应商应提交的相关资格证明材料 服务内容及服务要求应答表 报价表 响应文件封面 一般资格要求及特殊资格要求.docx 项目负责人.docx 残疾人福利性单位声明函 拟派项目人员.docx 总体实施方案.docx 标的清单 管理体系认证.docx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响应文件的签署、盖章符合采购文件要求，响应文件名称与本项目名称一致。</w:t>
            </w:r>
          </w:p>
        </w:tc>
        <w:tc>
          <w:tcPr>
            <w:tcW w:type="dxa" w:w="1661"/>
          </w:tcPr>
          <w:p>
            <w:pPr>
              <w:pStyle w:val="null3"/>
            </w:pPr>
            <w:r>
              <w:rPr>
                <w:rFonts w:ascii="仿宋_GB2312" w:hAnsi="仿宋_GB2312" w:cs="仿宋_GB2312" w:eastAsia="仿宋_GB2312"/>
              </w:rPr>
              <w:t>业绩.docx 中小企业声明函 商务应答表 供应商应提交的相关资格证明材料 服务内容及服务要求应答表 报价表 响应文件封面 一般资格要求及特殊资格要求.docx 项目负责人.docx 残疾人福利性单位声明函 拟派项目人员.docx 总体实施方案.docx 标的清单 管理体系认证.docx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业绩.docx 中小企业声明函 商务应答表 供应商应提交的相关资格证明材料 服务内容及服务要求应答表 报价表 响应文件封面 一般资格要求及特殊资格要求.docx 项目负责人.docx 残疾人福利性单位声明函 拟派项目人员.docx 总体实施方案.docx 标的清单 管理体系认证.docx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响应文件递交截止之日起不少于90天。</w:t>
            </w:r>
          </w:p>
        </w:tc>
        <w:tc>
          <w:tcPr>
            <w:tcW w:type="dxa" w:w="1661"/>
          </w:tcPr>
          <w:p>
            <w:pPr>
              <w:pStyle w:val="null3"/>
            </w:pPr>
            <w:r>
              <w:rPr>
                <w:rFonts w:ascii="仿宋_GB2312" w:hAnsi="仿宋_GB2312" w:cs="仿宋_GB2312" w:eastAsia="仿宋_GB2312"/>
              </w:rPr>
              <w:t>一般资格要求及特殊资格要求.docx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无采购文件及相关法律法规中规定的无效情形</w:t>
            </w:r>
          </w:p>
        </w:tc>
        <w:tc>
          <w:tcPr>
            <w:tcW w:type="dxa" w:w="1661"/>
          </w:tcPr>
          <w:p>
            <w:pPr>
              <w:pStyle w:val="null3"/>
            </w:pPr>
            <w:r>
              <w:rPr>
                <w:rFonts w:ascii="仿宋_GB2312" w:hAnsi="仿宋_GB2312" w:cs="仿宋_GB2312" w:eastAsia="仿宋_GB2312"/>
              </w:rPr>
              <w:t>业绩.docx 中小企业声明函 商务应答表 供应商应提交的相关资格证明材料 服务内容及服务要求应答表 报价表 响应文件封面 一般资格要求及特殊资格要求.docx 项目负责人.docx 残疾人福利性单位声明函 拟派项目人员.docx 总体实施方案.docx 标的清单 管理体系认证.docx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项目服务实施方案</w:t>
            </w:r>
          </w:p>
        </w:tc>
        <w:tc>
          <w:tcPr>
            <w:tcW w:type="dxa" w:w="2492"/>
          </w:tcPr>
          <w:p>
            <w:pPr>
              <w:pStyle w:val="null3"/>
            </w:pPr>
            <w:r>
              <w:rPr>
                <w:rFonts w:ascii="仿宋_GB2312" w:hAnsi="仿宋_GB2312" w:cs="仿宋_GB2312" w:eastAsia="仿宋_GB2312"/>
              </w:rPr>
              <w:t>评审内容：实施方案应包括①项目总体方案；②方案编制的工作大纲；③项目工作质量保证措施；④人员投入计划；⑤应急情况处理；⑥验收的办法和措施。 评审标准：1、完整性：方案须可行科学、合理，架构完整、层次清楚；2、可实施性：满足采购人及采购文件、行业服务技术标准及国家有关政策和法律法规的要求。 赋分标准：1、完整性：每完全满足一项得1.5分；2、可实施性：每完全满足一项目得1.5分。3、不提供不得分。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质量及进度保障</w:t>
            </w:r>
          </w:p>
        </w:tc>
        <w:tc>
          <w:tcPr>
            <w:tcW w:type="dxa" w:w="2492"/>
          </w:tcPr>
          <w:p>
            <w:pPr>
              <w:pStyle w:val="null3"/>
            </w:pPr>
            <w:r>
              <w:rPr>
                <w:rFonts w:ascii="仿宋_GB2312" w:hAnsi="仿宋_GB2312" w:cs="仿宋_GB2312" w:eastAsia="仿宋_GB2312"/>
              </w:rPr>
              <w:t>评审内容：根据项目要求及服务周期，制定符合要求、满足项目特点的质量控制和进度保障措施，内容包括但不限于①质量目标；②质量保证方法及措施。 赋分标准：1、质量保证措施内容全面详细，目标明确，科学合理、针对性强，计10分；2、质量保证措施内容全面但描述不够详细，目标明确，科学合理、针对性强，计7分；3、质量保证措施内容全面性不够（缺①至②中任意一项）但描述详细，针对性强，计5分；4、质量保证措施内容全面性不够（缺①至②中任意一项），描述不够详细，计3分；5、质量保证措施内容粗略，计1分；6、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后续服务保障措施</w:t>
            </w:r>
          </w:p>
        </w:tc>
        <w:tc>
          <w:tcPr>
            <w:tcW w:type="dxa" w:w="2492"/>
          </w:tcPr>
          <w:p>
            <w:pPr>
              <w:pStyle w:val="null3"/>
            </w:pPr>
            <w:r>
              <w:rPr>
                <w:rFonts w:ascii="仿宋_GB2312" w:hAnsi="仿宋_GB2312" w:cs="仿宋_GB2312" w:eastAsia="仿宋_GB2312"/>
              </w:rPr>
              <w:t>评审内容：①后续服务人员配置（至少包括姓名、联系电话）；②后续服务保障措施。 赋分标准：1、所编制内容全面详细，目标明确，科学合理，计10分；2、所编制内容全面但描述不够详细，目标明确，科学合理，计7分；3、所编制内容全面性不够（缺①至②中任意一项）但描述详细，针对性强，计5分；4、所编制内容全面性不够（缺①至②中任意一项），描述不够详细，计3分；5、所编制内容粗略，计1分；6、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评审内容：清楚项目背景，对项目需求理解深刻，对基层防灾减灾存在的问题难点把握准确。 赋分标准：1、需求分析准确、客观、清晰完整，得 8 分；2、需求分析较为合理，得 5 分；3、需求分析基本合理，得 3 分；4、不提供不得分。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项目整体现状分析</w:t>
            </w:r>
          </w:p>
        </w:tc>
        <w:tc>
          <w:tcPr>
            <w:tcW w:type="dxa" w:w="2492"/>
          </w:tcPr>
          <w:p>
            <w:pPr>
              <w:pStyle w:val="null3"/>
            </w:pPr>
            <w:r>
              <w:rPr>
                <w:rFonts w:ascii="仿宋_GB2312" w:hAnsi="仿宋_GB2312" w:cs="仿宋_GB2312" w:eastAsia="仿宋_GB2312"/>
              </w:rPr>
              <w:t>评审内容：对澄城县自然灾害风险现状认识充分、了解自然灾害灾情灾种比重、澄城县综合风险划分情况。赋分标准：1、现状分析准确、客观、清晰完整，得 8 分；2、现状分析较为合理，得 5 分；3、现状分析基本合理，得 3 分；4、不提供不得分。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1、项目负责人具有信息系统项目管理师（高级）证书得1.5分；具有高级系统架构设计师证书得1.5分；具有信息安全保障人员认证证书(CISAW)得1.5分；具有注册信息安全专业人员 (CISP)证书得1.5分；2、项目负责人每有一项同类业绩得 1 分，满分2 分。注：供应商须提供人员证书证明材料和响应文件递交截止时间前半年内连续3个月社保证明的复印件，否则不予认可。（项目负责人业绩与企业业绩可重复得分）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拟派本项目的服务团队结构搭配及成员要求： 1、技术负责人：具有高级职称及国家注册的咨询工程师得 3 分，具有一级注册造价工程师得 2 分； 2、项目团队：①设计团队成员具有住建部门颁发的一级注册造价师证书且注册在投标单位的，每人得 1.5 分，最多得1.5 分；②设计团队成员具有人社部门颁发的高级系统架构设计师证书的，每人得 1.5 分，最多得 1.5 分；③设计团队成员具有人社部门颁发的高级系统分析师证书的，每人得 1.5 分，最多得 1.5 分；④设计团队成员具有人社部门颁发的信息安全工程师证书的，每人得 1.5 分，最多得 1.5 分。注：供应商须提供服务团队人员证书证明材料和响应文件递交截止时间前半年内连续3个月社保证明的复印件，否则不予认可。</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拟派项目人员.docx</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1、ISO9001 质量管理体系认证（认证范围须包含咨询设计内容），得1分；2、ISO14001 环境管理体系认证（认证范围须包含覆盖咨询设计相关内容），得1分；3、ISO45001 职业健康安全管理体系认证（认证范围须包含咨询设计相关内容），得1分；4、ISO/IEC27001 信息安全管理体系认证（认证范围须包含咨询设计及软件相关内容），得1分。 注：提供认证证书复印件及在全国认证认可信息公共服务平台（http://cx.cnca.cn/）对体系证书的信息查询截图作为评审依据（均须加盖公章）；已暂停、失效或撤销的不得分，不提供不得分。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管理体系认证.docx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提供企业近三年（2023年1月1日起）以来类似的业绩证明材料，每份合格业绩计 2 分，满分 8 分。 备注：提供项目合同关键页或中标通知书作为证明材料，时间以提供材料的落款日期为准并加盖供应商公章。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价格分统一采用低价优先法计算，即满足磋商文件要求且最终报价价格最低的报价为评审基准价，其价格分为满分。其他供应商的价格分统一按照下列公式计算： 磋商报价得分=(评审基准价/最终报价)×15计算分数时四舍五入取小数点后两位。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详见附件：一般资格要求及特殊资格要求.docx</w:t>
      </w:r>
    </w:p>
    <w:p>
      <w:pPr>
        <w:pStyle w:val="null3"/>
        <w:ind w:firstLine="960"/>
      </w:pPr>
      <w:r>
        <w:rPr>
          <w:rFonts w:ascii="仿宋_GB2312" w:hAnsi="仿宋_GB2312" w:cs="仿宋_GB2312" w:eastAsia="仿宋_GB2312"/>
        </w:rPr>
        <w:t>详见附件：总体实施方案.docx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详见附件：拟派项目人员.docx</w:t>
      </w:r>
    </w:p>
    <w:p>
      <w:pPr>
        <w:pStyle w:val="null3"/>
        <w:ind w:firstLine="960"/>
      </w:pPr>
      <w:r>
        <w:rPr>
          <w:rFonts w:ascii="仿宋_GB2312" w:hAnsi="仿宋_GB2312" w:cs="仿宋_GB2312" w:eastAsia="仿宋_GB2312"/>
        </w:rPr>
        <w:t>详见附件：管理体系认证.docx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