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版本号：CZCNZDD(2026)TRPJG-120260319001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澄城县农业投入品信息化监管服务项目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CZCNZDD(2026)TRPJG-1</w:t>
      </w:r>
      <w:r>
        <w:br/>
      </w:r>
      <w:r>
        <w:br/>
      </w:r>
      <w:r>
        <w:br/>
      </w:r>
    </w:p>
    <w:p>
      <w:pPr>
        <w:pStyle w:val="null3"/>
        <w:jc w:val="center"/>
        <w:outlineLvl w:val="2"/>
      </w:pPr>
      <w:r>
        <w:rPr>
          <w:rFonts w:ascii="仿宋_GB2312" w:hAnsi="仿宋_GB2312" w:cs="仿宋_GB2312" w:eastAsia="仿宋_GB2312"/>
          <w:sz w:val="28"/>
          <w:b/>
        </w:rPr>
        <w:t>澄城县农业综合执法大队</w:t>
      </w:r>
    </w:p>
    <w:p>
      <w:pPr>
        <w:pStyle w:val="null3"/>
        <w:jc w:val="center"/>
        <w:outlineLvl w:val="2"/>
      </w:pPr>
      <w:r>
        <w:rPr>
          <w:rFonts w:ascii="仿宋_GB2312" w:hAnsi="仿宋_GB2312" w:cs="仿宋_GB2312" w:eastAsia="仿宋_GB2312"/>
          <w:sz w:val="28"/>
          <w:b/>
        </w:rPr>
        <w:t>澄城县政府采购中心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澄城县政府采购中心</w:t>
      </w:r>
      <w:r>
        <w:rPr>
          <w:rFonts w:ascii="仿宋_GB2312" w:hAnsi="仿宋_GB2312" w:cs="仿宋_GB2312" w:eastAsia="仿宋_GB2312"/>
        </w:rPr>
        <w:t>（以下简称“代理机构”）受</w:t>
      </w:r>
      <w:r>
        <w:rPr>
          <w:rFonts w:ascii="仿宋_GB2312" w:hAnsi="仿宋_GB2312" w:cs="仿宋_GB2312" w:eastAsia="仿宋_GB2312"/>
        </w:rPr>
        <w:t>澄城县农业综合执法大队</w:t>
      </w:r>
      <w:r>
        <w:rPr>
          <w:rFonts w:ascii="仿宋_GB2312" w:hAnsi="仿宋_GB2312" w:cs="仿宋_GB2312" w:eastAsia="仿宋_GB2312"/>
        </w:rPr>
        <w:t>委托，拟对</w:t>
      </w:r>
      <w:r>
        <w:rPr>
          <w:rFonts w:ascii="仿宋_GB2312" w:hAnsi="仿宋_GB2312" w:cs="仿宋_GB2312" w:eastAsia="仿宋_GB2312"/>
        </w:rPr>
        <w:t>澄城县农业投入品信息化监管服务项目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CZCNZDD(2026)TRPJG-1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澄城县农业投入品信息化监管服务项目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实现农业投入品与农产品质量安全的双向追溯，提高我县农业数字化监管水平，围绕农药、兽药、种子、肥料等生产资料经营销售监管需求，经研究决定结合实际情况，采购农资门店配置相关设备，对接省农业农村大数据中心，开展农业投入品监管预警应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1、营业执照等证明文件：具有独立承担民事责任能力，提供供应商合法注册的法人或其他组织的营业执照/事业单位法人证书/非企业专业服务机构执业许可证/民办非企业单位登记证书；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证明：提供2024年度经审计的财务报告（包含审计报告和审计报告中所涉及的财务报表和报表附注）或提供2024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pPr>
        <w:pStyle w:val="null3"/>
      </w:pPr>
      <w:r>
        <w:rPr>
          <w:rFonts w:ascii="仿宋_GB2312" w:hAnsi="仿宋_GB2312" w:cs="仿宋_GB2312" w:eastAsia="仿宋_GB2312"/>
        </w:rPr>
        <w:t>3、具有履行合同所必需的设备和专业技术能力：提供具有履行合同所必需的设备和专业技术能力的说明及承诺；</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供应商提供本单位2025年01月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6、无重大违法记录声明：提供参加政府采购活动前三年内在经营活动中没有重大违法记录的书面声明;</w:t>
      </w:r>
    </w:p>
    <w:p>
      <w:pPr>
        <w:pStyle w:val="null3"/>
      </w:pPr>
      <w:r>
        <w:rPr>
          <w:rFonts w:ascii="仿宋_GB2312" w:hAnsi="仿宋_GB2312" w:cs="仿宋_GB2312" w:eastAsia="仿宋_GB2312"/>
        </w:rPr>
        <w:t>7、供应商应授权合法的人员参加招标全过程：法定代表人(负责人)授权委托书（附法定代表人（负责人）、被授权人身份证复印件并加盖投标人公章），（法定代表人（负责人）参加投标只须提供法定代表人(负责人)身份证明及身份证复印件并加盖投标人公章）；（注：被授权人须为本单位在职员工并提供投标截止日前三个月内任意一个月的社会保障资金凭证并加盖投标人公章）</w:t>
      </w:r>
    </w:p>
    <w:p>
      <w:pPr>
        <w:pStyle w:val="null3"/>
      </w:pPr>
      <w:r>
        <w:rPr>
          <w:rFonts w:ascii="仿宋_GB2312" w:hAnsi="仿宋_GB2312" w:cs="仿宋_GB2312" w:eastAsia="仿宋_GB2312"/>
        </w:rPr>
        <w:t>8、供应商信用信息：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pPr>
        <w:pStyle w:val="null3"/>
      </w:pPr>
      <w:r>
        <w:rPr>
          <w:rFonts w:ascii="仿宋_GB2312" w:hAnsi="仿宋_GB2312" w:cs="仿宋_GB2312" w:eastAsia="仿宋_GB2312"/>
        </w:rPr>
        <w:t>9、非联合体投标：本项目不接受联合体投标。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澄城县农业综合执法大队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澄城县九路农技中心院内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15829193423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澄城县政府采购中心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澄城县古徵街北段财政局大楼四楼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蒋女士、权女士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0913-6868979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澄城县农业综合执法大队</w:t>
      </w:r>
      <w:r>
        <w:rPr>
          <w:rFonts w:ascii="仿宋_GB2312" w:hAnsi="仿宋_GB2312" w:cs="仿宋_GB2312" w:eastAsia="仿宋_GB2312"/>
        </w:rPr>
        <w:t>和</w:t>
      </w:r>
      <w:r>
        <w:rPr>
          <w:rFonts w:ascii="仿宋_GB2312" w:hAnsi="仿宋_GB2312" w:cs="仿宋_GB2312" w:eastAsia="仿宋_GB2312"/>
        </w:rPr>
        <w:t>澄城县政府采购中心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澄城县农业综合执法大队</w:t>
      </w:r>
      <w:r>
        <w:rPr>
          <w:rFonts w:ascii="仿宋_GB2312" w:hAnsi="仿宋_GB2312" w:cs="仿宋_GB2312" w:eastAsia="仿宋_GB2312"/>
        </w:rPr>
        <w:t>负责解释。除上述招标文件内容，其他内容由</w:t>
      </w:r>
      <w:r>
        <w:rPr>
          <w:rFonts w:ascii="仿宋_GB2312" w:hAnsi="仿宋_GB2312" w:cs="仿宋_GB2312" w:eastAsia="仿宋_GB2312"/>
        </w:rPr>
        <w:t>澄城县政府采购中心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澄城县农业综合执法大队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澄城县政府采购中心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（1）货物到达采购人指定地点后，由采购人组织双方参与方式对货物进行验收，须满足招标文件、投标响应及合同约定相关要求，且须符合国家、行业规定的相关标准和国家质检要求，一次性自行验收。 （2）货物供应渠道正规、稳定且质量有保证，检验手续合法有效，具备完善的管理制度流程； （3）对于验收不合格的产品应及时退回供应商，同时做好相关记录。</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澄城县农业综合执法大队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澄城县农业综合执法大队</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澄城县农业综合执法大队</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联系人：韩先生</w:t>
      </w:r>
    </w:p>
    <w:p>
      <w:pPr>
        <w:pStyle w:val="null3"/>
      </w:pPr>
      <w:r>
        <w:rPr>
          <w:rFonts w:ascii="仿宋_GB2312" w:hAnsi="仿宋_GB2312" w:cs="仿宋_GB2312" w:eastAsia="仿宋_GB2312"/>
        </w:rPr>
        <w:t>联系电话：15829193423</w:t>
      </w:r>
    </w:p>
    <w:p>
      <w:pPr>
        <w:pStyle w:val="null3"/>
      </w:pPr>
      <w:r>
        <w:rPr>
          <w:rFonts w:ascii="仿宋_GB2312" w:hAnsi="仿宋_GB2312" w:cs="仿宋_GB2312" w:eastAsia="仿宋_GB2312"/>
        </w:rPr>
        <w:t>地址：澄城县农业综合执法大队</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实现农业投入品与农产品质量安全的双向追溯，提高我县农业数字化监管水平，围绕农药、兽药、种子、肥料等生产资料经营销售监管需求，经研究决定结合实际情况，采购农资门店配置相关设备，对接省农业农村大数据中心，开展农业投入品监管预警应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459,000.00</w:t>
      </w:r>
    </w:p>
    <w:p>
      <w:pPr>
        <w:pStyle w:val="null3"/>
      </w:pPr>
      <w:r>
        <w:rPr>
          <w:rFonts w:ascii="仿宋_GB2312" w:hAnsi="仿宋_GB2312" w:cs="仿宋_GB2312" w:eastAsia="仿宋_GB2312"/>
        </w:rPr>
        <w:t>采购包最高限价（元）: 459,000.00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澄城县农业投入品信息化监管服务项目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标的名称：澄城县农业投入品信息化监管服务项目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rPr>
              <w:t>一、基本要求</w:t>
            </w:r>
          </w:p>
          <w:p>
            <w:pPr>
              <w:pStyle w:val="null3"/>
              <w:ind w:firstLine="640"/>
              <w:jc w:val="both"/>
            </w:pPr>
            <w:r>
              <w:rPr>
                <w:rFonts w:ascii="仿宋_GB2312" w:hAnsi="仿宋_GB2312" w:cs="仿宋_GB2312" w:eastAsia="仿宋_GB2312"/>
                <w:sz w:val="32"/>
              </w:rPr>
              <w:t>（1）项目概况：为实现农业投入品与农产品质量安全的双向追溯，提高我县农业数字化监管水平，围绕农药、兽药、种子、肥料等生产资料经营销售监管需求，经研究决定结合实际情况，采购农资门店配置相关设备，对接省农业农村大数据中心，开展农业投入品监管预警应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2）用途：</w:t>
            </w:r>
            <w:r>
              <w:rPr>
                <w:rFonts w:ascii="仿宋_GB2312" w:hAnsi="仿宋_GB2312" w:cs="仿宋_GB2312" w:eastAsia="仿宋_GB2312"/>
                <w:sz w:val="32"/>
              </w:rPr>
              <w:t>用于</w:t>
            </w:r>
            <w:r>
              <w:rPr>
                <w:rFonts w:ascii="仿宋_GB2312" w:hAnsi="仿宋_GB2312" w:cs="仿宋_GB2312" w:eastAsia="仿宋_GB2312"/>
                <w:sz w:val="32"/>
              </w:rPr>
              <w:t>农资门店管理终端购置</w:t>
            </w:r>
            <w:r>
              <w:rPr>
                <w:rFonts w:ascii="仿宋_GB2312" w:hAnsi="仿宋_GB2312" w:cs="仿宋_GB2312" w:eastAsia="仿宋_GB2312"/>
                <w:sz w:val="32"/>
              </w:rPr>
              <w:t>、</w:t>
            </w:r>
            <w:r>
              <w:rPr>
                <w:rFonts w:ascii="仿宋_GB2312" w:hAnsi="仿宋_GB2312" w:cs="仿宋_GB2312" w:eastAsia="仿宋_GB2312"/>
                <w:sz w:val="32"/>
              </w:rPr>
              <w:t>运输及伴随服务。</w:t>
            </w:r>
          </w:p>
          <w:p>
            <w:pPr>
              <w:pStyle w:val="null3"/>
              <w:ind w:firstLine="640"/>
              <w:jc w:val="left"/>
            </w:pPr>
            <w:r>
              <w:rPr>
                <w:rFonts w:ascii="仿宋_GB2312" w:hAnsi="仿宋_GB2312" w:cs="仿宋_GB2312" w:eastAsia="仿宋_GB2312"/>
                <w:sz w:val="32"/>
                <w:shd w:fill="FFFFFF" w:val="clear"/>
              </w:rPr>
              <w:t>（3）供货</w:t>
            </w:r>
            <w:r>
              <w:rPr>
                <w:rFonts w:ascii="仿宋_GB2312" w:hAnsi="仿宋_GB2312" w:cs="仿宋_GB2312" w:eastAsia="仿宋_GB2312"/>
                <w:sz w:val="32"/>
                <w:shd w:fill="FFFFFF" w:val="clear"/>
              </w:rPr>
              <w:t>期限：合同签订生效后</w:t>
            </w:r>
            <w:r>
              <w:rPr>
                <w:rFonts w:ascii="仿宋_GB2312" w:hAnsi="仿宋_GB2312" w:cs="仿宋_GB2312" w:eastAsia="仿宋_GB2312"/>
                <w:sz w:val="32"/>
                <w:shd w:fill="FFFFFF" w:val="clear"/>
              </w:rPr>
              <w:t>4</w:t>
            </w:r>
            <w:r>
              <w:rPr>
                <w:rFonts w:ascii="仿宋_GB2312" w:hAnsi="仿宋_GB2312" w:cs="仿宋_GB2312" w:eastAsia="仿宋_GB2312"/>
                <w:sz w:val="32"/>
                <w:shd w:fill="FFFFFF" w:val="clear"/>
              </w:rPr>
              <w:t>0天内需要交货完毕、安装调试完成。</w:t>
            </w:r>
          </w:p>
          <w:p>
            <w:pPr>
              <w:pStyle w:val="null3"/>
              <w:ind w:firstLine="640"/>
              <w:jc w:val="left"/>
            </w:pPr>
            <w:r>
              <w:rPr>
                <w:rFonts w:ascii="仿宋_GB2312" w:hAnsi="仿宋_GB2312" w:cs="仿宋_GB2312" w:eastAsia="仿宋_GB2312"/>
                <w:sz w:val="32"/>
                <w:shd w:fill="FFFFFF" w:val="clear"/>
              </w:rPr>
              <w:t>（4）供货</w:t>
            </w:r>
            <w:r>
              <w:rPr>
                <w:rFonts w:ascii="仿宋_GB2312" w:hAnsi="仿宋_GB2312" w:cs="仿宋_GB2312" w:eastAsia="仿宋_GB2312"/>
                <w:sz w:val="32"/>
                <w:shd w:fill="FFFFFF" w:val="clear"/>
              </w:rPr>
              <w:t>地点：澄城县</w:t>
            </w:r>
            <w:r>
              <w:rPr>
                <w:rFonts w:ascii="仿宋_GB2312" w:hAnsi="仿宋_GB2312" w:cs="仿宋_GB2312" w:eastAsia="仿宋_GB2312"/>
                <w:sz w:val="32"/>
                <w:shd w:fill="FFFFFF" w:val="clear"/>
              </w:rPr>
              <w:t>县域内。</w:t>
            </w:r>
          </w:p>
          <w:p>
            <w:pPr>
              <w:pStyle w:val="null3"/>
              <w:ind w:firstLine="640"/>
              <w:jc w:val="left"/>
            </w:pPr>
            <w:r>
              <w:rPr>
                <w:rFonts w:ascii="仿宋_GB2312" w:hAnsi="仿宋_GB2312" w:cs="仿宋_GB2312" w:eastAsia="仿宋_GB2312"/>
                <w:sz w:val="32"/>
                <w:shd w:fill="FFFFFF" w:val="clear"/>
              </w:rPr>
              <w:t>（5）质保期：3年。</w:t>
            </w:r>
          </w:p>
          <w:p>
            <w:pPr>
              <w:pStyle w:val="null3"/>
              <w:ind w:firstLine="640"/>
              <w:jc w:val="both"/>
            </w:pPr>
            <w:r>
              <w:rPr>
                <w:rFonts w:ascii="仿宋_GB2312" w:hAnsi="仿宋_GB2312" w:cs="仿宋_GB2312" w:eastAsia="仿宋_GB2312"/>
                <w:sz w:val="32"/>
              </w:rPr>
              <w:t>二、</w:t>
            </w:r>
            <w:r>
              <w:rPr>
                <w:rFonts w:ascii="仿宋_GB2312" w:hAnsi="仿宋_GB2312" w:cs="仿宋_GB2312" w:eastAsia="仿宋_GB2312"/>
                <w:sz w:val="32"/>
              </w:rPr>
              <w:t>采购标的数量和规格</w:t>
            </w:r>
          </w:p>
          <w:p>
            <w:pPr>
              <w:pStyle w:val="null3"/>
              <w:jc w:val="both"/>
            </w:pPr>
            <w:r>
              <w:rPr>
                <w:rFonts w:ascii="仿宋_GB2312" w:hAnsi="仿宋_GB2312" w:cs="仿宋_GB2312" w:eastAsia="仿宋_GB2312"/>
                <w:sz w:val="32"/>
                <w:b/>
                <w:color w:val="000000"/>
              </w:rPr>
              <w:t xml:space="preserve">    </w:t>
            </w:r>
            <w:r>
              <w:rPr>
                <w:rFonts w:ascii="仿宋_GB2312" w:hAnsi="仿宋_GB2312" w:cs="仿宋_GB2312" w:eastAsia="仿宋_GB2312"/>
                <w:sz w:val="32"/>
                <w:b/>
                <w:color w:val="000000"/>
              </w:rPr>
              <w:t xml:space="preserve"> 澄城县农业投入品信</w:t>
            </w:r>
            <w:r>
              <w:rPr>
                <w:rFonts w:ascii="仿宋_GB2312" w:hAnsi="仿宋_GB2312" w:cs="仿宋_GB2312" w:eastAsia="仿宋_GB2312"/>
                <w:sz w:val="32"/>
                <w:b/>
                <w:color w:val="000000"/>
              </w:rPr>
              <w:t>息化监管服务项目采购标的数量和规格</w:t>
            </w:r>
          </w:p>
          <w:tbl>
            <w:tblPr>
              <w:tblBorders>
                <w:top w:val="none" w:color="000000" w:sz="4"/>
                <w:left w:val="none" w:color="000000" w:sz="4"/>
                <w:bottom w:val="none" w:color="000000" w:sz="4"/>
                <w:right w:val="none" w:color="000000" w:sz="4"/>
                <w:insideH w:val="none"/>
                <w:insideV w:val="none"/>
              </w:tblBorders>
            </w:tblPr>
            <w:tblGrid>
              <w:gridCol w:w="297"/>
              <w:gridCol w:w="1679"/>
              <w:gridCol w:w="288"/>
              <w:gridCol w:w="288"/>
            </w:tblGrid>
            <w:tr>
              <w:tc>
                <w:tcPr>
                  <w:tcW w:type="dxa" w:w="29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4"/>
                      <w:b/>
                      <w:color w:val="000000"/>
                    </w:rPr>
                    <w:t>名称</w:t>
                  </w:r>
                </w:p>
                <w:p>
                  <w:pPr>
                    <w:pStyle w:val="null3"/>
                    <w:jc w:val="center"/>
                  </w:pPr>
                </w:p>
              </w:tc>
              <w:tc>
                <w:tcPr>
                  <w:tcW w:type="dxa" w:w="167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w:t>
                  </w:r>
                </w:p>
              </w:tc>
              <w:tc>
                <w:tcPr>
                  <w:tcW w:type="dxa" w:w="2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农资门店管理终端</w:t>
                  </w:r>
                </w:p>
              </w:tc>
              <w:tc>
                <w:tcPr>
                  <w:tcW w:type="dxa" w:w="1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销售一体机设备。要求为双屏显示销售一体机，参数要求：主屏不低于</w:t>
                  </w:r>
                  <w:r>
                    <w:rPr>
                      <w:rFonts w:ascii="仿宋_GB2312" w:hAnsi="仿宋_GB2312" w:cs="仿宋_GB2312" w:eastAsia="仿宋_GB2312"/>
                      <w:sz w:val="24"/>
                    </w:rPr>
                    <w:t>12.1"HD，客显不低于 10.1" HD；处理器不低于 4 核 2.0GHz；存储器不低于</w:t>
                  </w:r>
                  <w:r>
                    <w:rPr>
                      <w:rFonts w:ascii="仿宋_GB2312" w:hAnsi="仿宋_GB2312" w:cs="仿宋_GB2312" w:eastAsia="仿宋_GB2312"/>
                      <w:sz w:val="24"/>
                    </w:rPr>
                    <w:t>3</w:t>
                  </w:r>
                  <w:r>
                    <w:rPr>
                      <w:rFonts w:ascii="仿宋_GB2312" w:hAnsi="仿宋_GB2312" w:cs="仿宋_GB2312" w:eastAsia="仿宋_GB2312"/>
                      <w:sz w:val="24"/>
                    </w:rPr>
                    <w:t>GB</w:t>
                  </w:r>
                  <w:r>
                    <w:rPr>
                      <w:rFonts w:ascii="仿宋_GB2312" w:hAnsi="仿宋_GB2312" w:cs="仿宋_GB2312" w:eastAsia="仿宋_GB2312"/>
                      <w:sz w:val="24"/>
                    </w:rPr>
                    <w:t xml:space="preserve"> </w:t>
                  </w:r>
                  <w:r>
                    <w:rPr>
                      <w:rFonts w:ascii="仿宋_GB2312" w:hAnsi="仿宋_GB2312" w:cs="仿宋_GB2312" w:eastAsia="仿宋_GB2312"/>
                      <w:sz w:val="24"/>
                    </w:rPr>
                    <w:t>RAM+</w:t>
                  </w:r>
                  <w:r>
                    <w:rPr>
                      <w:rFonts w:ascii="仿宋_GB2312" w:hAnsi="仿宋_GB2312" w:cs="仿宋_GB2312" w:eastAsia="仿宋_GB2312"/>
                      <w:sz w:val="24"/>
                    </w:rPr>
                    <w:t>32</w:t>
                  </w:r>
                  <w:r>
                    <w:rPr>
                      <w:rFonts w:ascii="仿宋_GB2312" w:hAnsi="仿宋_GB2312" w:cs="仿宋_GB2312" w:eastAsia="仿宋_GB2312"/>
                      <w:sz w:val="24"/>
                    </w:rPr>
                    <w:t>GB ROM；触摸屏支持电容多点触摸；Wi-Fi（2.4GHz）支持 IEEE 802.11 b/g/n协议；具备蓝牙功能，BT 2.1/3.0/4.0/4.2/5.0；外部 USB 接口不低于 2 个，具有 RJ45 LAN 口；操作系统不低于 Android 7。</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）产品扫码设备。要求具备产品扫描功能，支持条形码和二维码的识读与解析，快速完成产品的出入库、备案与销售。参数要求：</w:t>
                  </w:r>
                  <w:r>
                    <w:rPr>
                      <w:rFonts w:ascii="仿宋_GB2312" w:hAnsi="仿宋_GB2312" w:cs="仿宋_GB2312" w:eastAsia="仿宋_GB2312"/>
                      <w:sz w:val="24"/>
                    </w:rPr>
                    <w:t>支持无线扫码，</w:t>
                  </w:r>
                  <w:r>
                    <w:rPr>
                      <w:rFonts w:ascii="仿宋_GB2312" w:hAnsi="仿宋_GB2312" w:cs="仿宋_GB2312" w:eastAsia="仿宋_GB2312"/>
                      <w:sz w:val="24"/>
                    </w:rPr>
                    <w:t>设备像素不低于</w:t>
                  </w:r>
                  <w:r>
                    <w:rPr>
                      <w:rFonts w:ascii="仿宋_GB2312" w:hAnsi="仿宋_GB2312" w:cs="仿宋_GB2312" w:eastAsia="仿宋_GB2312"/>
                      <w:sz w:val="24"/>
                    </w:rPr>
                    <w:t>640*480； 支持照明、对焦；识读码制支持条形码和二维码；通讯接口支持 USB 2.0；支持 Android 操作系统。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）身份数据读取设备。要求具备身份证读取功能，通过读取</w:t>
                  </w:r>
                  <w:r>
                    <w:rPr>
                      <w:rFonts w:ascii="仿宋_GB2312" w:hAnsi="仿宋_GB2312" w:cs="仿宋_GB2312" w:eastAsia="仿宋_GB2312"/>
                      <w:sz w:val="24"/>
                    </w:rPr>
                    <w:t>录入农户的身份</w:t>
                  </w:r>
                  <w:r>
                    <w:rPr>
                      <w:rFonts w:ascii="仿宋_GB2312" w:hAnsi="仿宋_GB2312" w:cs="仿宋_GB2312" w:eastAsia="仿宋_GB2312"/>
                      <w:sz w:val="24"/>
                    </w:rPr>
                    <w:t>信息，为农户建立档案；同时具备农户在线建档及本地图像库采集比对功能，通过终端实现农户基础档案在线建档，并完成本地图像库及省级图像库的比对。参</w:t>
                  </w:r>
                  <w:r>
                    <w:rPr>
                      <w:rFonts w:ascii="仿宋_GB2312" w:hAnsi="仿宋_GB2312" w:cs="仿宋_GB2312" w:eastAsia="仿宋_GB2312"/>
                      <w:sz w:val="24"/>
                    </w:rPr>
                    <w:t>数要求：设备阅读距离不小于</w:t>
                  </w:r>
                  <w:r>
                    <w:rPr>
                      <w:rFonts w:ascii="仿宋_GB2312" w:hAnsi="仿宋_GB2312" w:cs="仿宋_GB2312" w:eastAsia="仿宋_GB2312"/>
                      <w:sz w:val="24"/>
                    </w:rPr>
                    <w:t xml:space="preserve"> </w:t>
                  </w:r>
                  <w:r>
                    <w:rPr>
                      <w:rFonts w:ascii="仿宋_GB2312" w:hAnsi="仿宋_GB2312" w:cs="仿宋_GB2312" w:eastAsia="仿宋_GB2312"/>
                      <w:sz w:val="24"/>
                    </w:rPr>
                    <w:t>3cm；接口支持</w:t>
                  </w:r>
                  <w:r>
                    <w:rPr>
                      <w:rFonts w:ascii="仿宋_GB2312" w:hAnsi="仿宋_GB2312" w:cs="仿宋_GB2312" w:eastAsia="仿宋_GB2312"/>
                      <w:sz w:val="24"/>
                    </w:rPr>
                    <w:t xml:space="preserve"> </w:t>
                  </w:r>
                  <w:r>
                    <w:rPr>
                      <w:rFonts w:ascii="仿宋_GB2312" w:hAnsi="仿宋_GB2312" w:cs="仿宋_GB2312" w:eastAsia="仿宋_GB2312"/>
                      <w:sz w:val="24"/>
                    </w:rPr>
                    <w:t>USB2.0；支持</w:t>
                  </w:r>
                  <w:r>
                    <w:rPr>
                      <w:rFonts w:ascii="仿宋_GB2312" w:hAnsi="仿宋_GB2312" w:cs="仿宋_GB2312" w:eastAsia="仿宋_GB2312"/>
                      <w:sz w:val="24"/>
                    </w:rPr>
                    <w:t xml:space="preserve"> </w:t>
                  </w:r>
                  <w:r>
                    <w:rPr>
                      <w:rFonts w:ascii="仿宋_GB2312" w:hAnsi="仿宋_GB2312" w:cs="仿宋_GB2312" w:eastAsia="仿宋_GB2312"/>
                      <w:sz w:val="24"/>
                    </w:rPr>
                    <w:t>OTG</w:t>
                  </w:r>
                  <w:r>
                    <w:rPr>
                      <w:rFonts w:ascii="仿宋_GB2312" w:hAnsi="仿宋_GB2312" w:cs="仿宋_GB2312" w:eastAsia="仿宋_GB2312"/>
                      <w:sz w:val="24"/>
                    </w:rPr>
                    <w:t xml:space="preserve"> </w:t>
                  </w:r>
                  <w:r>
                    <w:rPr>
                      <w:rFonts w:ascii="仿宋_GB2312" w:hAnsi="仿宋_GB2312" w:cs="仿宋_GB2312" w:eastAsia="仿宋_GB2312"/>
                      <w:sz w:val="24"/>
                    </w:rPr>
                    <w:t>即插即用。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）票据打印设备。要求具备销售记录打印功能，通过终端实现销售小票</w:t>
                  </w:r>
                  <w:r>
                    <w:rPr>
                      <w:rFonts w:ascii="仿宋_GB2312" w:hAnsi="仿宋_GB2312" w:cs="仿宋_GB2312" w:eastAsia="仿宋_GB2312"/>
                      <w:sz w:val="24"/>
                    </w:rPr>
                    <w:t>的打</w:t>
                  </w:r>
                  <w:r>
                    <w:rPr>
                      <w:rFonts w:ascii="仿宋_GB2312" w:hAnsi="仿宋_GB2312" w:cs="仿宋_GB2312" w:eastAsia="仿宋_GB2312"/>
                      <w:sz w:val="24"/>
                    </w:rPr>
                    <w:t>印，实现农户留存溯源。参数要求：设备为热敏</w:t>
                  </w:r>
                  <w:r>
                    <w:rPr>
                      <w:rFonts w:ascii="仿宋_GB2312" w:hAnsi="仿宋_GB2312" w:cs="仿宋_GB2312" w:eastAsia="仿宋_GB2312"/>
                      <w:sz w:val="24"/>
                    </w:rPr>
                    <w:t>打印机；接口类型支持</w:t>
                  </w:r>
                  <w:r>
                    <w:rPr>
                      <w:rFonts w:ascii="仿宋_GB2312" w:hAnsi="仿宋_GB2312" w:cs="仿宋_GB2312" w:eastAsia="仿宋_GB2312"/>
                      <w:sz w:val="24"/>
                    </w:rPr>
                    <w:t xml:space="preserve"> </w:t>
                  </w:r>
                  <w:r>
                    <w:rPr>
                      <w:rFonts w:ascii="仿宋_GB2312" w:hAnsi="仿宋_GB2312" w:cs="仿宋_GB2312" w:eastAsia="仿宋_GB2312"/>
                      <w:sz w:val="24"/>
                    </w:rPr>
                    <w:t>USB；支持常规的小票打印纸规格。</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）人像采集设备。要求具备人脸捕捉功能，采集的图像与农户档</w:t>
                  </w:r>
                  <w:r>
                    <w:rPr>
                      <w:rFonts w:ascii="仿宋_GB2312" w:hAnsi="仿宋_GB2312" w:cs="仿宋_GB2312" w:eastAsia="仿宋_GB2312"/>
                      <w:sz w:val="24"/>
                    </w:rPr>
                    <w:t>案关联，支</w:t>
                  </w:r>
                  <w:r>
                    <w:rPr>
                      <w:rFonts w:ascii="仿宋_GB2312" w:hAnsi="仿宋_GB2312" w:cs="仿宋_GB2312" w:eastAsia="仿宋_GB2312"/>
                      <w:sz w:val="24"/>
                    </w:rPr>
                    <w:t>持同省级农户人脸信息库进行匹配，可实现本地</w:t>
                  </w:r>
                  <w:r>
                    <w:rPr>
                      <w:rFonts w:ascii="仿宋_GB2312" w:hAnsi="仿宋_GB2312" w:cs="仿宋_GB2312" w:eastAsia="仿宋_GB2312"/>
                      <w:sz w:val="24"/>
                    </w:rPr>
                    <w:t>人脸采集及比对分析。参数要求：</w:t>
                  </w:r>
                  <w:r>
                    <w:rPr>
                      <w:rFonts w:ascii="仿宋_GB2312" w:hAnsi="仿宋_GB2312" w:cs="仿宋_GB2312" w:eastAsia="仿宋_GB2312"/>
                      <w:sz w:val="24"/>
                    </w:rPr>
                    <w:t>设备最大分辨率不低于</w:t>
                  </w:r>
                  <w:r>
                    <w:rPr>
                      <w:rFonts w:ascii="仿宋_GB2312" w:hAnsi="仿宋_GB2312" w:cs="仿宋_GB2312" w:eastAsia="仿宋_GB2312"/>
                      <w:sz w:val="24"/>
                    </w:rPr>
                    <w:t xml:space="preserve"> </w:t>
                  </w:r>
                  <w:r>
                    <w:rPr>
                      <w:rFonts w:ascii="仿宋_GB2312" w:hAnsi="仿宋_GB2312" w:cs="仿宋_GB2312" w:eastAsia="仿宋_GB2312"/>
                      <w:sz w:val="24"/>
                    </w:rPr>
                    <w:t>720p/30fps；可实现自动对焦；支持</w:t>
                  </w:r>
                  <w:r>
                    <w:rPr>
                      <w:rFonts w:ascii="仿宋_GB2312" w:hAnsi="仿宋_GB2312" w:cs="仿宋_GB2312" w:eastAsia="仿宋_GB2312"/>
                      <w:sz w:val="24"/>
                    </w:rPr>
                    <w:t xml:space="preserve"> </w:t>
                  </w:r>
                  <w:r>
                    <w:rPr>
                      <w:rFonts w:ascii="仿宋_GB2312" w:hAnsi="仿宋_GB2312" w:cs="仿宋_GB2312" w:eastAsia="仿宋_GB2312"/>
                      <w:sz w:val="24"/>
                    </w:rPr>
                    <w:t>Android</w:t>
                  </w:r>
                  <w:r>
                    <w:rPr>
                      <w:rFonts w:ascii="仿宋_GB2312" w:hAnsi="仿宋_GB2312" w:cs="仿宋_GB2312" w:eastAsia="仿宋_GB2312"/>
                      <w:sz w:val="24"/>
                    </w:rPr>
                    <w:t xml:space="preserve"> </w:t>
                  </w:r>
                  <w:r>
                    <w:rPr>
                      <w:rFonts w:ascii="仿宋_GB2312" w:hAnsi="仿宋_GB2312" w:cs="仿宋_GB2312" w:eastAsia="仿宋_GB2312"/>
                      <w:sz w:val="24"/>
                    </w:rPr>
                    <w:t>操作系统。</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合同签订生效后40天内需要交货完毕、安装调试完成。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澄城县县域内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40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项目完成验收并开始提供服务后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（1）货物到达采购人指定地点后，由采购人组织双方参与方式对货物进行验收，须满足招标文件、投标响应及合同约定相关要求，且须符合国家、行业规定的相关标准和国家质检要求，一次性自行验收。 （2）货物供应渠道正规、稳定且质量有保证，检验手续合法有效，具备完善的管理制度流程； （3）对于验收不合格的产品应及时退回供应商，同时做好相关记录。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质量保修范围：本次采购的全部设备 保修期：3年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招投标法》的相关条款规定和本合同约定，中标供应商未全面履行合同义务或者发生违约，采购人会同招标组织机构有权终止合同，依法向中标供应商进行经济索赔，并报请政府采购监督管理机关依法进行相应的行政处罚。采购人违约的，应当赔偿给中标供应商造成的经济损失。 确认方不对任何一方的违约行为承担任何责任。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经审计的财务报告（包含审计报告和审计报告中所涉及的财务报表和报表附注）或提供2024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提供具有履行合同所必需的设备和专业技术能力的说明及承诺；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供应商提供本单位2025年01月至今已缴纳的至少一个月的社会保障资金缴存单据或社保机构开具的社会保险参保缴费情况证明；（依法不需要缴纳社会保障资金的投标人应提供相关证明）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供应商应授权合法的人员参加招标全过程</w:t>
            </w:r>
          </w:p>
        </w:tc>
        <w:tc>
          <w:tcPr>
            <w:tcW w:type="dxa" w:w="3322"/>
          </w:tcPr>
          <w:p>
            <w:pPr>
              <w:pStyle w:val="null3"/>
            </w:pPr>
            <w:r>
              <w:rPr>
                <w:rFonts w:ascii="仿宋_GB2312" w:hAnsi="仿宋_GB2312" w:cs="仿宋_GB2312" w:eastAsia="仿宋_GB2312"/>
              </w:rPr>
              <w:t>法定代表人(负责人)授权委托书（附法定代表人（负责人）、被授权人身份证复印件并加盖投标人公章），（法定代表人（负责人）参加投标只须提供法定代表人(负责人)身份证明及身份证复印件并加盖投标人公章）；（注：被授权人须为本单位在职员工并提供投标截止日前三个月内任意一个月的社会保障资金凭证并加盖投标人公章）</w:t>
            </w:r>
          </w:p>
        </w:tc>
        <w:tc>
          <w:tcPr>
            <w:tcW w:type="dxa" w:w="1661"/>
          </w:tcPr>
          <w:p>
            <w:pPr>
              <w:pStyle w:val="null3"/>
            </w:pPr>
            <w:r>
              <w:rPr>
                <w:rFonts w:ascii="仿宋_GB2312" w:hAnsi="仿宋_GB2312" w:cs="仿宋_GB2312" w:eastAsia="仿宋_GB2312"/>
              </w:rPr>
              <w:t>法定代表人(负责人)身份证明及法定代表人（负责人）授权委托书.docx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投标文件上法定代表人或被授权人的盖章或签字齐全并加盖公章。</w:t>
            </w:r>
          </w:p>
        </w:tc>
        <w:tc>
          <w:tcPr>
            <w:tcW w:type="dxa" w:w="1661"/>
          </w:tcPr>
          <w:p>
            <w:pPr>
              <w:pStyle w:val="null3"/>
            </w:pPr>
            <w:r>
              <w:rPr>
                <w:rFonts w:ascii="仿宋_GB2312" w:hAnsi="仿宋_GB2312" w:cs="仿宋_GB2312" w:eastAsia="仿宋_GB2312"/>
              </w:rPr>
              <w:t>开标一览表 投标方案.docx 中小企业声明函 商务应答表 投标人应提交的相关资格证明材料 分项报价表(货物).docx 产品技术参数表 投标函 残疾人福利性单位声明函 法定代表人(负责人)身份证明及法定代表人（负责人）授权委托书.docx 业绩证明材料.docx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投标方案.docx 中小企业声明函 商务应答表 投标人应提交的相关资格证明材料 分项报价表(货物).docx 产品技术参数表 投标函 残疾人福利性单位声明函 法定代表人(负责人)身份证明及法定代表人（负责人）授权委托书.docx 业绩证明材料.docx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投标方案.docx 中小企业声明函 商务应答表 投标人应提交的相关资格证明材料 分项报价表(货物).docx 产品技术参数表 投标函 残疾人福利性单位声明函 法定代表人(负责人)身份证明及法定代表人（负责人）授权委托书.docx 业绩证明材料.docx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投标文件有效期符合招标文件的要求。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技术指标、配置</w:t>
            </w:r>
          </w:p>
        </w:tc>
        <w:tc>
          <w:tcPr>
            <w:tcW w:type="dxa" w:w="2492"/>
          </w:tcPr>
          <w:p>
            <w:pPr>
              <w:pStyle w:val="null3"/>
            </w:pPr>
            <w:r>
              <w:rPr>
                <w:rFonts w:ascii="仿宋_GB2312" w:hAnsi="仿宋_GB2312" w:cs="仿宋_GB2312" w:eastAsia="仿宋_GB2312"/>
              </w:rPr>
              <w:t>基本分（22分）：完全响应招标文件技术参数、性能要求的计22分。每负偏离一项扣1分，扣完为止。 加分 项（3分）：在基本分的基础上，响应产品主要参数经评 标委员会认定优于招标文件规定的参数要求，并且有实质性提升的，根据响应程度进行相应加分，每正偏离一项加1分，最多加3分。 注：所投产品需提供的技术指 标和功能证明材料；包括但不限于产品介绍、彩页、说明书、检测报告、官网和功 能截图。</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投标人提供的质量保障措施方案进行评审，该方案包含：①产品性能②使用寿命③使用效果④来源渠道证明资料（包括但不限于产品制造商授权、销售协议、代理协议、原厂授权等）⑤质量风险防控与应对预案。 完整提供核心产品(智慧黑板)及部分非核心产品，上述5项内容的得15分；每有一项未提供扣3分，扣完为止；每有一处有缺陷扣1分，扣完为止。（缺陷是指内容缺项、不完整或缺少关键点、只有简单描述无实质性内容； 非专门针对本项目或不适用本项目特性、 套用其他项目内容；对同一问题前后表述矛盾；存在逻辑漏洞、科学原理或常识错误。 ）</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根据投标人提供的实施方案进行评审，该方案包含：①总体实施方案；②计划进度安排； ③项目团队配备；④安装调试方案 ；⑤项目验收方案。完整提供上述5项内容的得15分；每有一项未提供扣3分，扣完为止；每有一处有缺陷扣1分，扣完为止。（缺陷是指内容缺项、不完整或缺少关键点、只有简单描述无实质性内容； 非专门针对本项目或不适用本项目特性、套用其他项目内容；对同一问题前后表述矛盾；存在逻辑漏洞、科学原理或常识错误。 ）</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全面、完整、可行、有针对性。培训内容有层次，培训方式适当，能够保障使用单位能熟练操作维护和正常使用得3分；培训方案针对性及可行性较强得2分；培训方案一般得1分；无培训方案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根据投标人提供的售后服务方案进行评审，该方案包含：①售后服务人员配置及计划；② 故障处理等的响应时间安排计划；③质量保证期限；④应急处理方案。完整提供上述4项内容的得8分；每有一项未提供扣2分，扣完为止；每有一处有缺陷扣1分，扣完为止。（ 缺陷是指内容缺项、不完整或缺少关键点、只有简单描述无实质性内容；非专门针对本项 目或不适用本项目特性、套用其他项目内容；对同一问题前后表述矛盾；存在逻辑漏洞、 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供应商2024年1月1日至今同类项目业绩，每提供1份得1分，最高得4分；业绩证明（以合同或中标通知书为 准，须在投标文件中附合同或中标通知书的扫描件加盖单位公章）弄虚作假者，取消其中标资格。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 他投标供应商的价格分统一按照下列公式 计算：投标报价得分=（评标基准价/投标报价）×30。报价低于成本价或高于预算价为无效报价。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分项报价表(货物).docx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详见附件：法定代表人(负责人)身份证明及法定代表人（负责人）授权委托书.docx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详见附件：货物合同样本（三方）.docx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