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版本号：JZDCG-2026-01820260325001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澄城县环卫基础设施及设备购置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JZDCG-2026-018</w:t>
      </w:r>
      <w:r>
        <w:br/>
      </w:r>
      <w:r>
        <w:br/>
      </w:r>
      <w:r>
        <w:br/>
      </w:r>
    </w:p>
    <w:p>
      <w:pPr>
        <w:pStyle w:val="null3"/>
        <w:jc w:val="center"/>
        <w:outlineLvl w:val="2"/>
      </w:pPr>
      <w:r>
        <w:rPr>
          <w:rFonts w:ascii="仿宋_GB2312" w:hAnsi="仿宋_GB2312" w:cs="仿宋_GB2312" w:eastAsia="仿宋_GB2312"/>
          <w:sz w:val="28"/>
          <w:b/>
        </w:rPr>
        <w:t>澄城县环境卫生管理中心</w:t>
      </w:r>
    </w:p>
    <w:p>
      <w:pPr>
        <w:pStyle w:val="null3"/>
        <w:jc w:val="center"/>
        <w:outlineLvl w:val="2"/>
      </w:pPr>
      <w:r>
        <w:rPr>
          <w:rFonts w:ascii="仿宋_GB2312" w:hAnsi="仿宋_GB2312" w:cs="仿宋_GB2312" w:eastAsia="仿宋_GB2312"/>
          <w:sz w:val="28"/>
          <w:b/>
        </w:rPr>
        <w:t>陕西金准达项目管理有限责任公司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陕西金准达项目管理有限责任公司</w:t>
      </w:r>
      <w:r>
        <w:rPr>
          <w:rFonts w:ascii="仿宋_GB2312" w:hAnsi="仿宋_GB2312" w:cs="仿宋_GB2312" w:eastAsia="仿宋_GB2312"/>
        </w:rPr>
        <w:t>（以下简称“代理机构”）受</w:t>
      </w:r>
      <w:r>
        <w:rPr>
          <w:rFonts w:ascii="仿宋_GB2312" w:hAnsi="仿宋_GB2312" w:cs="仿宋_GB2312" w:eastAsia="仿宋_GB2312"/>
        </w:rPr>
        <w:t>澄城县环境卫生管理中心</w:t>
      </w:r>
      <w:r>
        <w:rPr>
          <w:rFonts w:ascii="仿宋_GB2312" w:hAnsi="仿宋_GB2312" w:cs="仿宋_GB2312" w:eastAsia="仿宋_GB2312"/>
        </w:rPr>
        <w:t>委托，拟对</w:t>
      </w:r>
      <w:r>
        <w:rPr>
          <w:rFonts w:ascii="仿宋_GB2312" w:hAnsi="仿宋_GB2312" w:cs="仿宋_GB2312" w:eastAsia="仿宋_GB2312"/>
        </w:rPr>
        <w:t>澄城县环卫基础设施及设备购置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JZDCG-2026-018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澄城县环卫基础设施及设备购置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本项目为澄城县环卫基础设施及设备购置，具体采购内容为：环卫休息座椅（工具箱）、环卫电动保洁三轮车、环卫电动高压清洗三轮车。</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采购包1（澄城县环卫基础设施及设备购置）：属于专门面向中小企业采购。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1、主体经营资格：法人或者其他组织的营业执照等证明文件或者自然人身份证明；</w:t>
      </w:r>
    </w:p>
    <w:p>
      <w:pPr>
        <w:pStyle w:val="null3"/>
      </w:pPr>
      <w:r>
        <w:rPr>
          <w:rFonts w:ascii="仿宋_GB2312" w:hAnsi="仿宋_GB2312" w:cs="仿宋_GB2312" w:eastAsia="仿宋_GB2312"/>
        </w:rPr>
        <w:t>2、社会保障资金缴纳证明：自2025年09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p>
      <w:pPr>
        <w:pStyle w:val="null3"/>
      </w:pPr>
      <w:r>
        <w:rPr>
          <w:rFonts w:ascii="仿宋_GB2312" w:hAnsi="仿宋_GB2312" w:cs="仿宋_GB2312" w:eastAsia="仿宋_GB2312"/>
        </w:rPr>
        <w:t>3、税收缴纳证明：自2025年09月01日以来已缴存的至少一个月的纳税证明或完税证明，纳税证明或完税证明上应有代收机构或税务机关的公章或业务专用章。依法免税的投标人应提供相关文件证明；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4、信用查询：未被列入“信用中国”网站（www.creditchina.gov.cn）重大税收违法失信主体和严重失信主体名单，未被列入中国执行信息公开网（https://zxgk.court.gov.cn/shixin/）失信被执行人，不得为“中国政府采购网”（www.ccgp.gov.cn）政府采购严重违法失信行为记录名单中禁止参加政府采购活动的投标人；</w:t>
      </w:r>
    </w:p>
    <w:p>
      <w:pPr>
        <w:pStyle w:val="null3"/>
      </w:pPr>
      <w:r>
        <w:rPr>
          <w:rFonts w:ascii="仿宋_GB2312" w:hAnsi="仿宋_GB2312" w:cs="仿宋_GB2312" w:eastAsia="仿宋_GB2312"/>
        </w:rPr>
        <w:t>5、法定代表人授权委托书：须提供法定代表人授权书（附法定代表人、被授权人身份证复印件）；法定代表人直接参加投标的，须提供法定代表人身份证明文件；</w:t>
      </w:r>
    </w:p>
    <w:p>
      <w:pPr>
        <w:pStyle w:val="null3"/>
      </w:pPr>
      <w:r>
        <w:rPr>
          <w:rFonts w:ascii="仿宋_GB2312" w:hAnsi="仿宋_GB2312" w:cs="仿宋_GB2312" w:eastAsia="仿宋_GB2312"/>
        </w:rPr>
        <w:t>6、无重大违法记录：参加政府采购活动前三年内在经营活动中没有重大违法记录的书面声明；</w:t>
      </w:r>
    </w:p>
    <w:p>
      <w:pPr>
        <w:pStyle w:val="null3"/>
      </w:pPr>
      <w:r>
        <w:rPr>
          <w:rFonts w:ascii="仿宋_GB2312" w:hAnsi="仿宋_GB2312" w:cs="仿宋_GB2312" w:eastAsia="仿宋_GB2312"/>
        </w:rPr>
        <w:t>7、履行合同所必需的设备和专业技术能力：提供具有履行合同所必需的设备和专业技术能力的承诺函；</w:t>
      </w:r>
    </w:p>
    <w:p>
      <w:pPr>
        <w:pStyle w:val="null3"/>
      </w:pPr>
      <w:r>
        <w:rPr>
          <w:rFonts w:ascii="仿宋_GB2312" w:hAnsi="仿宋_GB2312" w:cs="仿宋_GB2312" w:eastAsia="仿宋_GB2312"/>
        </w:rPr>
        <w:t>8、联合体不得参与：投标人应提供针对本项目的非联合体声明。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澄城县环境卫生管理中心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澄城县洛润街五路西200米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18091683369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陕西金准达项目管理有限责任公司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陕西省西安市高新区科技五路3号橡树星座B座902室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王军、刘萌萌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029-89555599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澄城县政府采购管理股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王晓锋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15594255525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开户名称：陕西金准达项目管理有限责任公司项目保证金专户</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银行账号：129911244910001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参照《国家计委关于印发招标代理服务收费管理暂行办法的通知》（计价格【2002】1980号）和国家发改委办公厅颁发的《关于招标代理服务收费有关问题的通知》（发改办价格【2003】857号）文件为计算依据计取。 2、代理服务费的交纳方式：由成交人在领取成交通知书前向采购代理机构一次性支付； 开户名称：陕西金准达项目管理有限责任公司 开户银行：招商银行西安分行营业部 账 号：129911244910902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澄城县环境卫生管理中心</w:t>
      </w:r>
      <w:r>
        <w:rPr>
          <w:rFonts w:ascii="仿宋_GB2312" w:hAnsi="仿宋_GB2312" w:cs="仿宋_GB2312" w:eastAsia="仿宋_GB2312"/>
        </w:rPr>
        <w:t>和</w:t>
      </w:r>
      <w:r>
        <w:rPr>
          <w:rFonts w:ascii="仿宋_GB2312" w:hAnsi="仿宋_GB2312" w:cs="仿宋_GB2312" w:eastAsia="仿宋_GB2312"/>
        </w:rPr>
        <w:t>陕西金准达项目管理有限责任公司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澄城县环境卫生管理中心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陕西金准达项目管理有限责任公司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澄城县环境卫生管理中心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陕西金准达项目管理有限责任公司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联系人：王军、刘萌萌</w:t>
      </w:r>
    </w:p>
    <w:p>
      <w:pPr>
        <w:pStyle w:val="null3"/>
      </w:pPr>
      <w:r>
        <w:rPr>
          <w:rFonts w:ascii="仿宋_GB2312" w:hAnsi="仿宋_GB2312" w:cs="仿宋_GB2312" w:eastAsia="仿宋_GB2312"/>
        </w:rPr>
        <w:t>联系电话：029-89555599</w:t>
      </w:r>
    </w:p>
    <w:p>
      <w:pPr>
        <w:pStyle w:val="null3"/>
      </w:pPr>
      <w:r>
        <w:rPr>
          <w:rFonts w:ascii="仿宋_GB2312" w:hAnsi="仿宋_GB2312" w:cs="仿宋_GB2312" w:eastAsia="仿宋_GB2312"/>
        </w:rPr>
        <w:t>地址：陕西省西安市高新区科技五路3号橡树星座B座902室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本项目为澄城县环卫基础设施及设备购置，具体采购内容为：环卫休息座椅（工具箱）、环卫电动保洁三轮车、环卫电动高压清洗三轮车。</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澄城县环卫基础设施及设备购置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标的名称：澄城县环卫基础设施及设备购置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一、环卫休息座椅（工具箱）</w:t>
            </w:r>
            <w:r>
              <w:rPr>
                <w:rFonts w:ascii="仿宋_GB2312" w:hAnsi="仿宋_GB2312" w:cs="仿宋_GB2312" w:eastAsia="仿宋_GB2312"/>
                <w:b/>
              </w:rPr>
              <w:t>150个</w:t>
            </w:r>
          </w:p>
          <w:p>
            <w:pPr>
              <w:pStyle w:val="null3"/>
            </w:pPr>
            <w:r>
              <w:rPr>
                <w:rFonts w:ascii="仿宋_GB2312" w:hAnsi="仿宋_GB2312" w:cs="仿宋_GB2312" w:eastAsia="仿宋_GB2312"/>
              </w:rPr>
              <w:t>1、</w:t>
            </w:r>
            <w:r>
              <w:rPr>
                <w:rFonts w:ascii="仿宋_GB2312" w:hAnsi="仿宋_GB2312" w:cs="仿宋_GB2312" w:eastAsia="仿宋_GB2312"/>
              </w:rPr>
              <w:t>整体要求：环卫休息智能座椅（工具箱）整体应韧性强，抗撕裂，环保，抗老化，防水，持久抗晒；</w:t>
            </w:r>
          </w:p>
          <w:p>
            <w:pPr>
              <w:pStyle w:val="null3"/>
            </w:pPr>
            <w:r>
              <w:rPr>
                <w:rFonts w:ascii="仿宋_GB2312" w:hAnsi="仿宋_GB2312" w:cs="仿宋_GB2312" w:eastAsia="仿宋_GB2312"/>
              </w:rPr>
              <w:t>2、尺寸及颜色：尺寸定制（参考值：</w:t>
            </w:r>
            <w:r>
              <w:rPr>
                <w:rFonts w:ascii="仿宋_GB2312" w:hAnsi="仿宋_GB2312" w:cs="仿宋_GB2312" w:eastAsia="仿宋_GB2312"/>
              </w:rPr>
              <w:t>长</w:t>
            </w:r>
            <w:r>
              <w:rPr>
                <w:rFonts w:ascii="仿宋_GB2312" w:hAnsi="仿宋_GB2312" w:cs="仿宋_GB2312" w:eastAsia="仿宋_GB2312"/>
              </w:rPr>
              <w:t>2</w:t>
            </w:r>
            <w:r>
              <w:rPr>
                <w:rFonts w:ascii="仿宋_GB2312" w:hAnsi="仿宋_GB2312" w:cs="仿宋_GB2312" w:eastAsia="仿宋_GB2312"/>
              </w:rPr>
              <w:t>0</w:t>
            </w:r>
            <w:r>
              <w:rPr>
                <w:rFonts w:ascii="仿宋_GB2312" w:hAnsi="仿宋_GB2312" w:cs="仿宋_GB2312" w:eastAsia="仿宋_GB2312"/>
              </w:rPr>
              <w:t>00</w:t>
            </w:r>
            <w:r>
              <w:rPr>
                <w:rFonts w:ascii="仿宋_GB2312" w:hAnsi="仿宋_GB2312" w:cs="仿宋_GB2312" w:eastAsia="仿宋_GB2312"/>
              </w:rPr>
              <w:t>mm</w:t>
            </w:r>
            <w:r>
              <w:rPr>
                <w:rFonts w:ascii="仿宋_GB2312" w:hAnsi="仿宋_GB2312" w:cs="仿宋_GB2312" w:eastAsia="仿宋_GB2312"/>
              </w:rPr>
              <w:t>*宽500</w:t>
            </w:r>
            <w:r>
              <w:rPr>
                <w:rFonts w:ascii="仿宋_GB2312" w:hAnsi="仿宋_GB2312" w:cs="仿宋_GB2312" w:eastAsia="仿宋_GB2312"/>
              </w:rPr>
              <w:t>mm</w:t>
            </w:r>
            <w:r>
              <w:rPr>
                <w:rFonts w:ascii="仿宋_GB2312" w:hAnsi="仿宋_GB2312" w:cs="仿宋_GB2312" w:eastAsia="仿宋_GB2312"/>
              </w:rPr>
              <w:t>*侧高2</w:t>
            </w:r>
            <w:r>
              <w:rPr>
                <w:rFonts w:ascii="仿宋_GB2312" w:hAnsi="仿宋_GB2312" w:cs="仿宋_GB2312" w:eastAsia="仿宋_GB2312"/>
              </w:rPr>
              <w:t>0</w:t>
            </w:r>
            <w:r>
              <w:rPr>
                <w:rFonts w:ascii="仿宋_GB2312" w:hAnsi="仿宋_GB2312" w:cs="仿宋_GB2312" w:eastAsia="仿宋_GB2312"/>
              </w:rPr>
              <w:t>00</w:t>
            </w:r>
            <w:r>
              <w:rPr>
                <w:rFonts w:ascii="仿宋_GB2312" w:hAnsi="仿宋_GB2312" w:cs="仿宋_GB2312" w:eastAsia="仿宋_GB2312"/>
              </w:rPr>
              <w:t>mm</w:t>
            </w:r>
            <w:r>
              <w:rPr>
                <w:rFonts w:ascii="仿宋_GB2312" w:hAnsi="仿宋_GB2312" w:cs="仿宋_GB2312" w:eastAsia="仿宋_GB2312"/>
              </w:rPr>
              <w:t>），颜色根据实际需求定制，</w:t>
            </w:r>
            <w:r>
              <w:rPr>
                <w:rFonts w:ascii="仿宋_GB2312" w:hAnsi="仿宋_GB2312" w:cs="仿宋_GB2312" w:eastAsia="仿宋_GB2312"/>
                <w:sz w:val="21"/>
              </w:rPr>
              <w:t>示例图如下：</w:t>
            </w:r>
          </w:p>
          <w:p>
            <w:pPr>
              <w:pStyle w:val="null3"/>
            </w:pPr>
            <w:r>
              <w:drawing>
                <wp:inline distT="0" distR="0" distB="0" distL="0">
                  <wp:extent cx="1621155" cy="910837"/>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910837"/>
                          </a:xfrm>
                          <a:prstGeom prst="rect">
                            <a:avLst/>
                          </a:prstGeom>
                        </pic:spPr>
                      </pic:pic>
                    </a:graphicData>
                  </a:graphic>
                </wp:inline>
              </w:drawing>
            </w:r>
          </w:p>
          <w:p>
            <w:pPr>
              <w:pStyle w:val="null3"/>
            </w:pPr>
            <w:r>
              <w:rPr>
                <w:rFonts w:ascii="仿宋_GB2312" w:hAnsi="仿宋_GB2312" w:cs="仿宋_GB2312" w:eastAsia="仿宋_GB2312"/>
                <w:sz w:val="21"/>
                <w:b/>
              </w:rPr>
              <w:t>▲</w:t>
            </w:r>
            <w:r>
              <w:rPr>
                <w:rFonts w:ascii="仿宋_GB2312" w:hAnsi="仿宋_GB2312" w:cs="仿宋_GB2312" w:eastAsia="仿宋_GB2312"/>
              </w:rPr>
              <w:t>3</w:t>
            </w:r>
            <w:r>
              <w:rPr>
                <w:rFonts w:ascii="仿宋_GB2312" w:hAnsi="仿宋_GB2312" w:cs="仿宋_GB2312" w:eastAsia="仿宋_GB2312"/>
              </w:rPr>
              <w:t>、材质：高强度钢板</w:t>
            </w:r>
            <w:r>
              <w:rPr>
                <w:rFonts w:ascii="仿宋_GB2312" w:hAnsi="仿宋_GB2312" w:cs="仿宋_GB2312" w:eastAsia="仿宋_GB2312"/>
              </w:rPr>
              <w:t>，</w:t>
            </w:r>
            <w:r>
              <w:rPr>
                <w:rFonts w:ascii="仿宋_GB2312" w:hAnsi="仿宋_GB2312" w:cs="仿宋_GB2312" w:eastAsia="仿宋_GB2312"/>
              </w:rPr>
              <w:t>厚度</w:t>
            </w:r>
            <w:r>
              <w:rPr>
                <w:rFonts w:ascii="仿宋_GB2312" w:hAnsi="仿宋_GB2312" w:cs="仿宋_GB2312" w:eastAsia="仿宋_GB2312"/>
              </w:rPr>
              <w:t>≥</w:t>
            </w:r>
            <w:r>
              <w:rPr>
                <w:rFonts w:ascii="仿宋_GB2312" w:hAnsi="仿宋_GB2312" w:cs="仿宋_GB2312" w:eastAsia="仿宋_GB2312"/>
              </w:rPr>
              <w:t>1.5mm；</w:t>
            </w:r>
          </w:p>
          <w:p>
            <w:pPr>
              <w:pStyle w:val="null3"/>
            </w:pPr>
            <w:r>
              <w:rPr>
                <w:rFonts w:ascii="仿宋_GB2312" w:hAnsi="仿宋_GB2312" w:cs="仿宋_GB2312" w:eastAsia="仿宋_GB2312"/>
              </w:rPr>
              <w:t>4</w:t>
            </w:r>
            <w:r>
              <w:rPr>
                <w:rFonts w:ascii="仿宋_GB2312" w:hAnsi="仿宋_GB2312" w:cs="仿宋_GB2312" w:eastAsia="仿宋_GB2312"/>
              </w:rPr>
              <w:t>、漆面：高温烤漆或喷塑；</w:t>
            </w:r>
          </w:p>
          <w:p>
            <w:pPr>
              <w:pStyle w:val="null3"/>
            </w:pPr>
            <w:r>
              <w:rPr>
                <w:rFonts w:ascii="仿宋_GB2312" w:hAnsi="仿宋_GB2312" w:cs="仿宋_GB2312" w:eastAsia="仿宋_GB2312"/>
              </w:rPr>
              <w:t>5</w:t>
            </w:r>
            <w:r>
              <w:rPr>
                <w:rFonts w:ascii="仿宋_GB2312" w:hAnsi="仿宋_GB2312" w:cs="仿宋_GB2312" w:eastAsia="仿宋_GB2312"/>
              </w:rPr>
              <w:t>、基本功能：</w:t>
            </w:r>
          </w:p>
          <w:p>
            <w:pPr>
              <w:pStyle w:val="null3"/>
            </w:pPr>
            <w:r>
              <w:rPr>
                <w:rFonts w:ascii="仿宋_GB2312" w:hAnsi="仿宋_GB2312" w:cs="仿宋_GB2312" w:eastAsia="仿宋_GB2312"/>
              </w:rPr>
              <w:t>（</w:t>
            </w:r>
            <w:r>
              <w:rPr>
                <w:rFonts w:ascii="仿宋_GB2312" w:hAnsi="仿宋_GB2312" w:cs="仿宋_GB2312" w:eastAsia="仿宋_GB2312"/>
              </w:rPr>
              <w:t>1）可存放环卫工具；</w:t>
            </w:r>
          </w:p>
          <w:p>
            <w:pPr>
              <w:pStyle w:val="null3"/>
            </w:pPr>
            <w:r>
              <w:rPr>
                <w:rFonts w:ascii="仿宋_GB2312" w:hAnsi="仿宋_GB2312" w:cs="仿宋_GB2312" w:eastAsia="仿宋_GB2312"/>
                <w:b/>
              </w:rPr>
              <w:t>★</w:t>
            </w:r>
            <w:r>
              <w:rPr>
                <w:rFonts w:ascii="仿宋_GB2312" w:hAnsi="仿宋_GB2312" w:cs="仿宋_GB2312" w:eastAsia="仿宋_GB2312"/>
              </w:rPr>
              <w:t>（</w:t>
            </w:r>
            <w:r>
              <w:rPr>
                <w:rFonts w:ascii="仿宋_GB2312" w:hAnsi="仿宋_GB2312" w:cs="仿宋_GB2312" w:eastAsia="仿宋_GB2312"/>
              </w:rPr>
              <w:t>2）可通过单晶硅光伏板对自带蓄电池进行充电，蓄电池电压12V，额定容量≥50Ah；</w:t>
            </w:r>
          </w:p>
          <w:p>
            <w:pPr>
              <w:pStyle w:val="null3"/>
            </w:pPr>
            <w:r>
              <w:rPr>
                <w:rFonts w:ascii="仿宋_GB2312" w:hAnsi="仿宋_GB2312" w:cs="仿宋_GB2312" w:eastAsia="仿宋_GB2312"/>
              </w:rPr>
              <w:t>（</w:t>
            </w:r>
            <w:r>
              <w:rPr>
                <w:rFonts w:ascii="仿宋_GB2312" w:hAnsi="仿宋_GB2312" w:cs="仿宋_GB2312" w:eastAsia="仿宋_GB2312"/>
              </w:rPr>
              <w:t>3）支持USB充电；</w:t>
            </w:r>
          </w:p>
          <w:p>
            <w:pPr>
              <w:pStyle w:val="null3"/>
            </w:pPr>
            <w:r>
              <w:rPr>
                <w:rFonts w:ascii="仿宋_GB2312" w:hAnsi="仿宋_GB2312" w:cs="仿宋_GB2312" w:eastAsia="仿宋_GB2312"/>
              </w:rPr>
              <w:t>（</w:t>
            </w:r>
            <w:r>
              <w:rPr>
                <w:rFonts w:ascii="仿宋_GB2312" w:hAnsi="仿宋_GB2312" w:cs="仿宋_GB2312" w:eastAsia="仿宋_GB2312"/>
              </w:rPr>
              <w:t>4）支持无线充电；</w:t>
            </w:r>
          </w:p>
          <w:p>
            <w:pPr>
              <w:pStyle w:val="null3"/>
            </w:pPr>
            <w:r>
              <w:rPr>
                <w:rFonts w:ascii="仿宋_GB2312" w:hAnsi="仿宋_GB2312" w:cs="仿宋_GB2312" w:eastAsia="仿宋_GB2312"/>
              </w:rPr>
              <w:t>（</w:t>
            </w:r>
            <w:r>
              <w:rPr>
                <w:rFonts w:ascii="仿宋_GB2312" w:hAnsi="仿宋_GB2312" w:cs="仿宋_GB2312" w:eastAsia="仿宋_GB2312"/>
              </w:rPr>
              <w:t>5）带蓝牙音箱；</w:t>
            </w:r>
          </w:p>
          <w:p>
            <w:pPr>
              <w:pStyle w:val="null3"/>
            </w:pPr>
            <w:r>
              <w:rPr>
                <w:rFonts w:ascii="仿宋_GB2312" w:hAnsi="仿宋_GB2312" w:cs="仿宋_GB2312" w:eastAsia="仿宋_GB2312"/>
                <w:sz w:val="21"/>
              </w:rPr>
              <w:t>（</w:t>
            </w:r>
            <w:r>
              <w:rPr>
                <w:rFonts w:ascii="仿宋_GB2312" w:hAnsi="仿宋_GB2312" w:cs="仿宋_GB2312" w:eastAsia="仿宋_GB2312"/>
                <w:sz w:val="21"/>
              </w:rPr>
              <w:t>6）人体感应灯光照明。</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b/>
              </w:rPr>
              <w:t>二、</w:t>
            </w:r>
            <w:r>
              <w:rPr>
                <w:rFonts w:ascii="仿宋_GB2312" w:hAnsi="仿宋_GB2312" w:cs="仿宋_GB2312" w:eastAsia="仿宋_GB2312"/>
                <w:b/>
              </w:rPr>
              <w:t>环卫电动保洁三轮车</w:t>
            </w:r>
            <w:r>
              <w:rPr>
                <w:rFonts w:ascii="仿宋_GB2312" w:hAnsi="仿宋_GB2312" w:cs="仿宋_GB2312" w:eastAsia="仿宋_GB2312"/>
                <w:b/>
              </w:rPr>
              <w:t>50辆</w:t>
            </w:r>
          </w:p>
          <w:p>
            <w:pPr>
              <w:pStyle w:val="null3"/>
            </w:pPr>
            <w:r>
              <w:rPr>
                <w:rFonts w:ascii="仿宋_GB2312" w:hAnsi="仿宋_GB2312" w:cs="仿宋_GB2312" w:eastAsia="仿宋_GB2312"/>
              </w:rPr>
              <w:t>1、</w:t>
            </w:r>
            <w:r>
              <w:rPr>
                <w:rFonts w:ascii="仿宋_GB2312" w:hAnsi="仿宋_GB2312" w:cs="仿宋_GB2312" w:eastAsia="仿宋_GB2312"/>
              </w:rPr>
              <w:t>电动正三轮，车头及驾驶位标配挡风构件、挡雨顶棚，车身颜色定制；</w:t>
            </w:r>
          </w:p>
          <w:p>
            <w:pPr>
              <w:pStyle w:val="null3"/>
            </w:pPr>
            <w:r>
              <w:rPr>
                <w:rFonts w:ascii="仿宋_GB2312" w:hAnsi="仿宋_GB2312" w:cs="仿宋_GB2312" w:eastAsia="仿宋_GB2312"/>
              </w:rPr>
              <w:t>2、整车尺寸：≥2600mm×900mm×1600mm；</w:t>
            </w:r>
          </w:p>
          <w:p>
            <w:pPr>
              <w:pStyle w:val="null3"/>
            </w:pPr>
            <w:r>
              <w:rPr>
                <w:rFonts w:ascii="仿宋_GB2312" w:hAnsi="仿宋_GB2312" w:cs="仿宋_GB2312" w:eastAsia="仿宋_GB2312"/>
                <w:sz w:val="21"/>
                <w:b/>
              </w:rPr>
              <w:t>▲</w:t>
            </w:r>
            <w:r>
              <w:rPr>
                <w:rFonts w:ascii="仿宋_GB2312" w:hAnsi="仿宋_GB2312" w:cs="仿宋_GB2312" w:eastAsia="仿宋_GB2312"/>
              </w:rPr>
              <w:t>3、承载重量：≥280kg；</w:t>
            </w:r>
          </w:p>
          <w:p>
            <w:pPr>
              <w:pStyle w:val="null3"/>
            </w:pPr>
            <w:r>
              <w:rPr>
                <w:rFonts w:ascii="仿宋_GB2312" w:hAnsi="仿宋_GB2312" w:cs="仿宋_GB2312" w:eastAsia="仿宋_GB2312"/>
                <w:b/>
              </w:rPr>
              <w:t>★</w:t>
            </w:r>
            <w:r>
              <w:rPr>
                <w:rFonts w:ascii="仿宋_GB2312" w:hAnsi="仿宋_GB2312" w:cs="仿宋_GB2312" w:eastAsia="仿宋_GB2312"/>
              </w:rPr>
              <w:t>4、箱体：可装载240L标准垃圾桶2个；</w:t>
            </w:r>
          </w:p>
          <w:p>
            <w:pPr>
              <w:pStyle w:val="null3"/>
            </w:pPr>
            <w:r>
              <w:rPr>
                <w:rFonts w:ascii="仿宋_GB2312" w:hAnsi="仿宋_GB2312" w:cs="仿宋_GB2312" w:eastAsia="仿宋_GB2312"/>
              </w:rPr>
              <w:t>5、轴距：≥2000mm</w:t>
            </w:r>
          </w:p>
          <w:p>
            <w:pPr>
              <w:pStyle w:val="null3"/>
            </w:pPr>
            <w:r>
              <w:rPr>
                <w:rFonts w:ascii="仿宋_GB2312" w:hAnsi="仿宋_GB2312" w:cs="仿宋_GB2312" w:eastAsia="仿宋_GB2312"/>
              </w:rPr>
              <w:t>6、轮距：≥700mm</w:t>
            </w:r>
          </w:p>
          <w:p>
            <w:pPr>
              <w:pStyle w:val="null3"/>
            </w:pPr>
            <w:r>
              <w:rPr>
                <w:rFonts w:ascii="仿宋_GB2312" w:hAnsi="仿宋_GB2312" w:cs="仿宋_GB2312" w:eastAsia="仿宋_GB2312"/>
              </w:rPr>
              <w:t>7、最小离地间隙：≥120mm</w:t>
            </w:r>
          </w:p>
          <w:p>
            <w:pPr>
              <w:pStyle w:val="null3"/>
            </w:pPr>
            <w:r>
              <w:rPr>
                <w:rFonts w:ascii="仿宋_GB2312" w:hAnsi="仿宋_GB2312" w:cs="仿宋_GB2312" w:eastAsia="仿宋_GB2312"/>
              </w:rPr>
              <w:t>8、</w:t>
            </w:r>
            <w:r>
              <w:rPr>
                <w:rFonts w:ascii="仿宋_GB2312" w:hAnsi="仿宋_GB2312" w:cs="仿宋_GB2312" w:eastAsia="仿宋_GB2312"/>
              </w:rPr>
              <w:t>最小转弯半径：</w:t>
            </w:r>
            <w:r>
              <w:rPr>
                <w:rFonts w:ascii="仿宋_GB2312" w:hAnsi="仿宋_GB2312" w:cs="仿宋_GB2312" w:eastAsia="仿宋_GB2312"/>
              </w:rPr>
              <w:t>≤</w:t>
            </w:r>
            <w:r>
              <w:rPr>
                <w:rFonts w:ascii="仿宋_GB2312" w:hAnsi="仿宋_GB2312" w:cs="仿宋_GB2312" w:eastAsia="仿宋_GB2312"/>
              </w:rPr>
              <w:t>1.5m</w:t>
            </w:r>
          </w:p>
          <w:p>
            <w:pPr>
              <w:pStyle w:val="null3"/>
            </w:pPr>
            <w:r>
              <w:rPr>
                <w:rFonts w:ascii="仿宋_GB2312" w:hAnsi="仿宋_GB2312" w:cs="仿宋_GB2312" w:eastAsia="仿宋_GB2312"/>
              </w:rPr>
              <w:t>9、最大爬坡度：≥13°</w:t>
            </w:r>
          </w:p>
          <w:p>
            <w:pPr>
              <w:pStyle w:val="null3"/>
            </w:pPr>
            <w:r>
              <w:rPr>
                <w:rFonts w:ascii="仿宋_GB2312" w:hAnsi="仿宋_GB2312" w:cs="仿宋_GB2312" w:eastAsia="仿宋_GB2312"/>
              </w:rPr>
              <w:t>10、</w:t>
            </w:r>
            <w:r>
              <w:rPr>
                <w:rFonts w:ascii="仿宋_GB2312" w:hAnsi="仿宋_GB2312" w:cs="仿宋_GB2312" w:eastAsia="仿宋_GB2312"/>
                <w:sz w:val="21"/>
              </w:rPr>
              <w:t>最高车速：</w:t>
            </w:r>
            <w:r>
              <w:rPr>
                <w:rFonts w:ascii="仿宋_GB2312" w:hAnsi="仿宋_GB2312" w:cs="仿宋_GB2312" w:eastAsia="仿宋_GB2312"/>
                <w:sz w:val="21"/>
              </w:rPr>
              <w:t>20km/h≤最高车速</w:t>
            </w:r>
            <w:r>
              <w:rPr>
                <w:rFonts w:ascii="仿宋_GB2312" w:hAnsi="仿宋_GB2312" w:cs="仿宋_GB2312" w:eastAsia="仿宋_GB2312"/>
              </w:rPr>
              <w:t>≤25km/h；</w:t>
            </w:r>
          </w:p>
          <w:p>
            <w:pPr>
              <w:pStyle w:val="null3"/>
            </w:pPr>
            <w:r>
              <w:rPr>
                <w:rFonts w:ascii="仿宋_GB2312" w:hAnsi="仿宋_GB2312" w:cs="仿宋_GB2312" w:eastAsia="仿宋_GB2312"/>
              </w:rPr>
              <w:t>11、车架：整体焊接一体大梁，酸洗电泳磷化烤漆；</w:t>
            </w:r>
          </w:p>
          <w:p>
            <w:pPr>
              <w:pStyle w:val="null3"/>
            </w:pPr>
            <w:r>
              <w:rPr>
                <w:rFonts w:ascii="仿宋_GB2312" w:hAnsi="仿宋_GB2312" w:cs="仿宋_GB2312" w:eastAsia="仿宋_GB2312"/>
              </w:rPr>
              <w:t>12、驱动：后置驱动；</w:t>
            </w:r>
          </w:p>
          <w:p>
            <w:pPr>
              <w:pStyle w:val="null3"/>
            </w:pPr>
            <w:r>
              <w:rPr>
                <w:rFonts w:ascii="仿宋_GB2312" w:hAnsi="仿宋_GB2312" w:cs="仿宋_GB2312" w:eastAsia="仿宋_GB2312"/>
              </w:rPr>
              <w:t>13、档位：配备前进和倒挡；</w:t>
            </w:r>
          </w:p>
          <w:p>
            <w:pPr>
              <w:pStyle w:val="null3"/>
            </w:pPr>
            <w:r>
              <w:rPr>
                <w:rFonts w:ascii="仿宋_GB2312" w:hAnsi="仿宋_GB2312" w:cs="仿宋_GB2312" w:eastAsia="仿宋_GB2312"/>
              </w:rPr>
              <w:t>14、转向机构：龙头把式转向；</w:t>
            </w:r>
          </w:p>
          <w:p>
            <w:pPr>
              <w:pStyle w:val="null3"/>
            </w:pPr>
            <w:r>
              <w:rPr>
                <w:rFonts w:ascii="仿宋_GB2312" w:hAnsi="仿宋_GB2312" w:cs="仿宋_GB2312" w:eastAsia="仿宋_GB2312"/>
              </w:rPr>
              <w:t>15、悬架：前悬架为弹簧式前叉，后悬架为非独立悬架；</w:t>
            </w:r>
          </w:p>
          <w:p>
            <w:pPr>
              <w:pStyle w:val="null3"/>
            </w:pPr>
            <w:r>
              <w:rPr>
                <w:rFonts w:ascii="仿宋_GB2312" w:hAnsi="仿宋_GB2312" w:cs="仿宋_GB2312" w:eastAsia="仿宋_GB2312"/>
              </w:rPr>
              <w:t>16、后桥：一体式差速后桥；</w:t>
            </w:r>
          </w:p>
          <w:p>
            <w:pPr>
              <w:pStyle w:val="null3"/>
            </w:pPr>
            <w:r>
              <w:rPr>
                <w:rFonts w:ascii="仿宋_GB2312" w:hAnsi="仿宋_GB2312" w:cs="仿宋_GB2312" w:eastAsia="仿宋_GB2312"/>
              </w:rPr>
              <w:t>17、制动：行进时为脚踩机械连杆鼓式后轮制动，驻车时为手动机械驻车制动；</w:t>
            </w:r>
          </w:p>
          <w:p>
            <w:pPr>
              <w:pStyle w:val="null3"/>
            </w:pPr>
            <w:r>
              <w:rPr>
                <w:rFonts w:ascii="仿宋_GB2312" w:hAnsi="仿宋_GB2312" w:cs="仿宋_GB2312" w:eastAsia="仿宋_GB2312"/>
              </w:rPr>
              <w:t>18、轮胎：</w:t>
            </w:r>
            <w:r>
              <w:rPr>
                <w:rFonts w:ascii="仿宋_GB2312" w:hAnsi="仿宋_GB2312" w:cs="仿宋_GB2312" w:eastAsia="仿宋_GB2312"/>
              </w:rPr>
              <w:t>适配轮胎</w:t>
            </w:r>
          </w:p>
          <w:p>
            <w:pPr>
              <w:pStyle w:val="null3"/>
            </w:pPr>
            <w:r>
              <w:rPr>
                <w:rFonts w:ascii="仿宋_GB2312" w:hAnsi="仿宋_GB2312" w:cs="仿宋_GB2312" w:eastAsia="仿宋_GB2312"/>
                <w:sz w:val="21"/>
                <w:b/>
              </w:rPr>
              <w:t>▲</w:t>
            </w:r>
            <w:r>
              <w:rPr>
                <w:rFonts w:ascii="仿宋_GB2312" w:hAnsi="仿宋_GB2312" w:cs="仿宋_GB2312" w:eastAsia="仿宋_GB2312"/>
              </w:rPr>
              <w:t>19、电机：额定功率≥1000W，无刷差速电机；</w:t>
            </w:r>
          </w:p>
          <w:p>
            <w:pPr>
              <w:pStyle w:val="null3"/>
            </w:pPr>
            <w:r>
              <w:rPr>
                <w:rFonts w:ascii="仿宋_GB2312" w:hAnsi="仿宋_GB2312" w:cs="仿宋_GB2312" w:eastAsia="仿宋_GB2312"/>
                <w:sz w:val="21"/>
                <w:b/>
              </w:rPr>
              <w:t>▲</w:t>
            </w:r>
            <w:r>
              <w:rPr>
                <w:rFonts w:ascii="仿宋_GB2312" w:hAnsi="仿宋_GB2312" w:cs="仿宋_GB2312" w:eastAsia="仿宋_GB2312"/>
              </w:rPr>
              <w:t>20、60V，18管无刷控制器；</w:t>
            </w:r>
          </w:p>
          <w:p>
            <w:pPr>
              <w:pStyle w:val="null3"/>
            </w:pPr>
            <w:r>
              <w:rPr>
                <w:rFonts w:ascii="仿宋_GB2312" w:hAnsi="仿宋_GB2312" w:cs="仿宋_GB2312" w:eastAsia="仿宋_GB2312"/>
                <w:sz w:val="21"/>
                <w:b/>
              </w:rPr>
              <w:t>▲</w:t>
            </w:r>
            <w:r>
              <w:rPr>
                <w:rFonts w:ascii="仿宋_GB2312" w:hAnsi="仿宋_GB2312" w:cs="仿宋_GB2312" w:eastAsia="仿宋_GB2312"/>
              </w:rPr>
              <w:t>21、</w:t>
            </w:r>
            <w:r>
              <w:rPr>
                <w:rFonts w:ascii="仿宋_GB2312" w:hAnsi="仿宋_GB2312" w:cs="仿宋_GB2312" w:eastAsia="仿宋_GB2312"/>
              </w:rPr>
              <w:t>电池：</w:t>
            </w:r>
            <w:r>
              <w:rPr>
                <w:rFonts w:ascii="仿宋_GB2312" w:hAnsi="仿宋_GB2312" w:cs="仿宋_GB2312" w:eastAsia="仿宋_GB2312"/>
              </w:rPr>
              <w:t>锂电池，电压</w:t>
            </w:r>
            <w:r>
              <w:rPr>
                <w:rFonts w:ascii="仿宋_GB2312" w:hAnsi="仿宋_GB2312" w:cs="仿宋_GB2312" w:eastAsia="仿宋_GB2312"/>
              </w:rPr>
              <w:t>60V，额定容量≥</w:t>
            </w:r>
            <w:r>
              <w:rPr>
                <w:rFonts w:ascii="仿宋_GB2312" w:hAnsi="仿宋_GB2312" w:cs="仿宋_GB2312" w:eastAsia="仿宋_GB2312"/>
              </w:rPr>
              <w:t>6</w:t>
            </w:r>
            <w:r>
              <w:rPr>
                <w:rFonts w:ascii="仿宋_GB2312" w:hAnsi="仿宋_GB2312" w:cs="仿宋_GB2312" w:eastAsia="仿宋_GB2312"/>
              </w:rPr>
              <w:t>0Ah</w:t>
            </w:r>
            <w:r>
              <w:rPr>
                <w:rFonts w:ascii="仿宋_GB2312" w:hAnsi="仿宋_GB2312" w:cs="仿宋_GB2312" w:eastAsia="仿宋_GB2312"/>
              </w:rPr>
              <w:t>；</w:t>
            </w:r>
          </w:p>
          <w:p>
            <w:pPr>
              <w:pStyle w:val="null3"/>
            </w:pPr>
            <w:r>
              <w:rPr>
                <w:rFonts w:ascii="仿宋_GB2312" w:hAnsi="仿宋_GB2312" w:cs="仿宋_GB2312" w:eastAsia="仿宋_GB2312"/>
              </w:rPr>
              <w:t>22、充电时间：≤8小时；</w:t>
            </w:r>
          </w:p>
          <w:p>
            <w:pPr>
              <w:pStyle w:val="null3"/>
            </w:pPr>
            <w:r>
              <w:rPr>
                <w:rFonts w:ascii="仿宋_GB2312" w:hAnsi="仿宋_GB2312" w:cs="仿宋_GB2312" w:eastAsia="仿宋_GB2312"/>
                <w:b/>
              </w:rPr>
              <w:t>★</w:t>
            </w:r>
            <w:r>
              <w:rPr>
                <w:rFonts w:ascii="仿宋_GB2312" w:hAnsi="仿宋_GB2312" w:cs="仿宋_GB2312" w:eastAsia="仿宋_GB2312"/>
              </w:rPr>
              <w:t>23、续航里程：≥60KM</w:t>
            </w:r>
            <w:r>
              <w:rPr>
                <w:rFonts w:ascii="仿宋_GB2312" w:hAnsi="仿宋_GB2312" w:cs="仿宋_GB2312" w:eastAsia="仿宋_GB2312"/>
              </w:rPr>
              <w:t>；</w:t>
            </w:r>
          </w:p>
          <w:p>
            <w:pPr>
              <w:pStyle w:val="null3"/>
            </w:pPr>
            <w:r>
              <w:rPr>
                <w:rFonts w:ascii="仿宋_GB2312" w:hAnsi="仿宋_GB2312" w:cs="仿宋_GB2312" w:eastAsia="仿宋_GB2312"/>
              </w:rPr>
              <w:t>24、座椅及靠背：高级仿真皮皮革面料+高回弹PU；</w:t>
            </w:r>
          </w:p>
          <w:p>
            <w:pPr>
              <w:pStyle w:val="null3"/>
            </w:pPr>
            <w:r>
              <w:rPr>
                <w:rFonts w:ascii="仿宋_GB2312" w:hAnsi="仿宋_GB2312" w:cs="仿宋_GB2312" w:eastAsia="仿宋_GB2312"/>
              </w:rPr>
              <w:t>25、整车配备启动开关、前后换挡开关、组合前灯、转向灯、组合后尾灯、电喇叭、倒车蜂鸣器、警示灯。</w:t>
            </w:r>
          </w:p>
          <w:p>
            <w:pPr>
              <w:pStyle w:val="null3"/>
            </w:pPr>
            <w:r>
              <w:rPr>
                <w:rFonts w:ascii="仿宋_GB2312" w:hAnsi="仿宋_GB2312" w:cs="仿宋_GB2312" w:eastAsia="仿宋_GB2312"/>
                <w:sz w:val="21"/>
                <w:b/>
                <w:u w:val="single"/>
              </w:rPr>
              <w:t>注：此产品为核心产品。</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b/>
              </w:rPr>
              <w:t>三、</w:t>
            </w:r>
            <w:r>
              <w:rPr>
                <w:rFonts w:ascii="仿宋_GB2312" w:hAnsi="仿宋_GB2312" w:cs="仿宋_GB2312" w:eastAsia="仿宋_GB2312"/>
                <w:b/>
              </w:rPr>
              <w:t>电动高压清洗三轮车</w:t>
            </w:r>
            <w:r>
              <w:rPr>
                <w:rFonts w:ascii="仿宋_GB2312" w:hAnsi="仿宋_GB2312" w:cs="仿宋_GB2312" w:eastAsia="仿宋_GB2312"/>
                <w:b/>
              </w:rPr>
              <w:t>5辆</w:t>
            </w:r>
            <w:r>
              <w:rPr>
                <w:rFonts w:ascii="仿宋_GB2312" w:hAnsi="仿宋_GB2312" w:cs="仿宋_GB2312" w:eastAsia="仿宋_GB2312"/>
              </w:rPr>
              <w:t xml:space="preserve"> </w:t>
            </w:r>
          </w:p>
          <w:p>
            <w:pPr>
              <w:pStyle w:val="null3"/>
            </w:pPr>
            <w:r>
              <w:rPr>
                <w:rFonts w:ascii="仿宋_GB2312" w:hAnsi="仿宋_GB2312" w:cs="仿宋_GB2312" w:eastAsia="仿宋_GB2312"/>
              </w:rPr>
              <w:t>1、</w:t>
            </w:r>
            <w:r>
              <w:rPr>
                <w:rFonts w:ascii="仿宋_GB2312" w:hAnsi="仿宋_GB2312" w:cs="仿宋_GB2312" w:eastAsia="仿宋_GB2312"/>
              </w:rPr>
              <w:t>电动正三轮（车身颜色定制）</w:t>
            </w:r>
          </w:p>
          <w:p>
            <w:pPr>
              <w:pStyle w:val="null3"/>
            </w:pPr>
            <w:r>
              <w:rPr>
                <w:rFonts w:ascii="仿宋_GB2312" w:hAnsi="仿宋_GB2312" w:cs="仿宋_GB2312" w:eastAsia="仿宋_GB2312"/>
              </w:rPr>
              <w:t>（</w:t>
            </w:r>
            <w:r>
              <w:rPr>
                <w:rFonts w:ascii="仿宋_GB2312" w:hAnsi="仿宋_GB2312" w:cs="仿宋_GB2312" w:eastAsia="仿宋_GB2312"/>
              </w:rPr>
              <w:t>1）整车尺寸：≥3000mm×1000mm×1800mm；</w:t>
            </w:r>
          </w:p>
          <w:p>
            <w:pPr>
              <w:pStyle w:val="null3"/>
            </w:pPr>
            <w:r>
              <w:rPr>
                <w:rFonts w:ascii="仿宋_GB2312" w:hAnsi="仿宋_GB2312" w:cs="仿宋_GB2312" w:eastAsia="仿宋_GB2312"/>
              </w:rPr>
              <w:t>（</w:t>
            </w:r>
            <w:r>
              <w:rPr>
                <w:rFonts w:ascii="仿宋_GB2312" w:hAnsi="仿宋_GB2312" w:cs="仿宋_GB2312" w:eastAsia="仿宋_GB2312"/>
              </w:rPr>
              <w:t>2）轴距：≥1000mm；</w:t>
            </w:r>
          </w:p>
          <w:p>
            <w:pPr>
              <w:pStyle w:val="null3"/>
            </w:pPr>
            <w:r>
              <w:rPr>
                <w:rFonts w:ascii="仿宋_GB2312" w:hAnsi="仿宋_GB2312" w:cs="仿宋_GB2312" w:eastAsia="仿宋_GB2312"/>
              </w:rPr>
              <w:t>（</w:t>
            </w:r>
            <w:r>
              <w:rPr>
                <w:rFonts w:ascii="仿宋_GB2312" w:hAnsi="仿宋_GB2312" w:cs="仿宋_GB2312" w:eastAsia="仿宋_GB2312"/>
              </w:rPr>
              <w:t>3）轮距：≥1300mm；</w:t>
            </w:r>
          </w:p>
          <w:p>
            <w:pPr>
              <w:pStyle w:val="null3"/>
            </w:pPr>
            <w:r>
              <w:rPr>
                <w:rFonts w:ascii="仿宋_GB2312" w:hAnsi="仿宋_GB2312" w:cs="仿宋_GB2312" w:eastAsia="仿宋_GB2312"/>
              </w:rPr>
              <w:t>（</w:t>
            </w:r>
            <w:r>
              <w:rPr>
                <w:rFonts w:ascii="仿宋_GB2312" w:hAnsi="仿宋_GB2312" w:cs="仿宋_GB2312" w:eastAsia="仿宋_GB2312"/>
              </w:rPr>
              <w:t>4）最小离地间隙：≥150mm；</w:t>
            </w:r>
          </w:p>
          <w:p>
            <w:pPr>
              <w:pStyle w:val="null3"/>
            </w:pPr>
            <w:r>
              <w:rPr>
                <w:rFonts w:ascii="仿宋_GB2312" w:hAnsi="仿宋_GB2312" w:cs="仿宋_GB2312" w:eastAsia="仿宋_GB2312"/>
              </w:rPr>
              <w:t>（</w:t>
            </w:r>
            <w:r>
              <w:rPr>
                <w:rFonts w:ascii="仿宋_GB2312" w:hAnsi="仿宋_GB2312" w:cs="仿宋_GB2312" w:eastAsia="仿宋_GB2312"/>
              </w:rPr>
              <w:t>5）最小转弯半径：≤3.5m；</w:t>
            </w:r>
          </w:p>
          <w:p>
            <w:pPr>
              <w:pStyle w:val="null3"/>
            </w:pPr>
            <w:r>
              <w:rPr>
                <w:rFonts w:ascii="仿宋_GB2312" w:hAnsi="仿宋_GB2312" w:cs="仿宋_GB2312" w:eastAsia="仿宋_GB2312"/>
              </w:rPr>
              <w:t>（</w:t>
            </w:r>
            <w:r>
              <w:rPr>
                <w:rFonts w:ascii="仿宋_GB2312" w:hAnsi="仿宋_GB2312" w:cs="仿宋_GB2312" w:eastAsia="仿宋_GB2312"/>
              </w:rPr>
              <w:t>6）最大爬坡度：≥15°；</w:t>
            </w:r>
          </w:p>
          <w:p>
            <w:pPr>
              <w:pStyle w:val="null3"/>
            </w:pPr>
            <w:r>
              <w:rPr>
                <w:rFonts w:ascii="仿宋_GB2312" w:hAnsi="仿宋_GB2312" w:cs="仿宋_GB2312" w:eastAsia="仿宋_GB2312"/>
              </w:rPr>
              <w:t>（</w:t>
            </w:r>
            <w:r>
              <w:rPr>
                <w:rFonts w:ascii="仿宋_GB2312" w:hAnsi="仿宋_GB2312" w:cs="仿宋_GB2312" w:eastAsia="仿宋_GB2312"/>
              </w:rPr>
              <w:t>7）最高车速：20km/h≤最高车速≤25km/h；</w:t>
            </w:r>
          </w:p>
          <w:p>
            <w:pPr>
              <w:pStyle w:val="null3"/>
            </w:pPr>
            <w:r>
              <w:rPr>
                <w:rFonts w:ascii="仿宋_GB2312" w:hAnsi="仿宋_GB2312" w:cs="仿宋_GB2312" w:eastAsia="仿宋_GB2312"/>
              </w:rPr>
              <w:t>（</w:t>
            </w:r>
            <w:r>
              <w:rPr>
                <w:rFonts w:ascii="仿宋_GB2312" w:hAnsi="仿宋_GB2312" w:cs="仿宋_GB2312" w:eastAsia="仿宋_GB2312"/>
              </w:rPr>
              <w:t>8</w:t>
            </w:r>
            <w:r>
              <w:rPr>
                <w:rFonts w:ascii="仿宋_GB2312" w:hAnsi="仿宋_GB2312" w:cs="仿宋_GB2312" w:eastAsia="仿宋_GB2312"/>
              </w:rPr>
              <w:t>）车架：整体焊接一体大梁，酸洗电泳磷化烤漆；</w:t>
            </w:r>
          </w:p>
          <w:p>
            <w:pPr>
              <w:pStyle w:val="null3"/>
            </w:pPr>
            <w:r>
              <w:rPr>
                <w:rFonts w:ascii="仿宋_GB2312" w:hAnsi="仿宋_GB2312" w:cs="仿宋_GB2312" w:eastAsia="仿宋_GB2312"/>
              </w:rPr>
              <w:t>（</w:t>
            </w:r>
            <w:r>
              <w:rPr>
                <w:rFonts w:ascii="仿宋_GB2312" w:hAnsi="仿宋_GB2312" w:cs="仿宋_GB2312" w:eastAsia="仿宋_GB2312"/>
              </w:rPr>
              <w:t>9</w:t>
            </w:r>
            <w:r>
              <w:rPr>
                <w:rFonts w:ascii="仿宋_GB2312" w:hAnsi="仿宋_GB2312" w:cs="仿宋_GB2312" w:eastAsia="仿宋_GB2312"/>
              </w:rPr>
              <w:t>）驱动：后置驱动；</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0</w:t>
            </w:r>
            <w:r>
              <w:rPr>
                <w:rFonts w:ascii="仿宋_GB2312" w:hAnsi="仿宋_GB2312" w:cs="仿宋_GB2312" w:eastAsia="仿宋_GB2312"/>
              </w:rPr>
              <w:t>）档位：配备前进和倒挡；</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1</w:t>
            </w:r>
            <w:r>
              <w:rPr>
                <w:rFonts w:ascii="仿宋_GB2312" w:hAnsi="仿宋_GB2312" w:cs="仿宋_GB2312" w:eastAsia="仿宋_GB2312"/>
              </w:rPr>
              <w:t>）转向机构：龙头把式转向；</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2</w:t>
            </w:r>
            <w:r>
              <w:rPr>
                <w:rFonts w:ascii="仿宋_GB2312" w:hAnsi="仿宋_GB2312" w:cs="仿宋_GB2312" w:eastAsia="仿宋_GB2312"/>
              </w:rPr>
              <w:t>）悬架：前悬架为弹簧式前叉，后悬架为非独立悬架；</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3</w:t>
            </w:r>
            <w:r>
              <w:rPr>
                <w:rFonts w:ascii="仿宋_GB2312" w:hAnsi="仿宋_GB2312" w:cs="仿宋_GB2312" w:eastAsia="仿宋_GB2312"/>
              </w:rPr>
              <w:t>）后桥：</w:t>
            </w:r>
            <w:r>
              <w:rPr>
                <w:rFonts w:ascii="仿宋_GB2312" w:hAnsi="仿宋_GB2312" w:cs="仿宋_GB2312" w:eastAsia="仿宋_GB2312"/>
              </w:rPr>
              <w:t>220全浮后桥；</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4</w:t>
            </w:r>
            <w:r>
              <w:rPr>
                <w:rFonts w:ascii="仿宋_GB2312" w:hAnsi="仿宋_GB2312" w:cs="仿宋_GB2312" w:eastAsia="仿宋_GB2312"/>
              </w:rPr>
              <w:t>）制动：行进时为脚踩机械连杆鼓式后轮制动，驻车时为手动机械驻车制动；</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5</w:t>
            </w:r>
            <w:r>
              <w:rPr>
                <w:rFonts w:ascii="仿宋_GB2312" w:hAnsi="仿宋_GB2312" w:cs="仿宋_GB2312" w:eastAsia="仿宋_GB2312"/>
              </w:rPr>
              <w:t>）轮胎：</w:t>
            </w:r>
            <w:r>
              <w:rPr>
                <w:rFonts w:ascii="仿宋_GB2312" w:hAnsi="仿宋_GB2312" w:cs="仿宋_GB2312" w:eastAsia="仿宋_GB2312"/>
              </w:rPr>
              <w:t>适配轮胎</w:t>
            </w:r>
          </w:p>
          <w:p>
            <w:pPr>
              <w:pStyle w:val="null3"/>
            </w:pPr>
            <w:r>
              <w:rPr>
                <w:rFonts w:ascii="仿宋_GB2312" w:hAnsi="仿宋_GB2312" w:cs="仿宋_GB2312" w:eastAsia="仿宋_GB2312"/>
                <w:sz w:val="21"/>
                <w:b/>
              </w:rPr>
              <w:t>▲</w:t>
            </w: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6</w:t>
            </w:r>
            <w:r>
              <w:rPr>
                <w:rFonts w:ascii="仿宋_GB2312" w:hAnsi="仿宋_GB2312" w:cs="仿宋_GB2312" w:eastAsia="仿宋_GB2312"/>
              </w:rPr>
              <w:t>）电机：额定功率</w:t>
            </w:r>
            <w:r>
              <w:rPr>
                <w:rFonts w:ascii="仿宋_GB2312" w:hAnsi="仿宋_GB2312" w:cs="仿宋_GB2312" w:eastAsia="仿宋_GB2312"/>
              </w:rPr>
              <w:t>≥3000W，高磁钢无刷差速电机；</w:t>
            </w:r>
          </w:p>
          <w:p>
            <w:pPr>
              <w:pStyle w:val="null3"/>
            </w:pPr>
            <w:r>
              <w:rPr>
                <w:rFonts w:ascii="仿宋_GB2312" w:hAnsi="仿宋_GB2312" w:cs="仿宋_GB2312" w:eastAsia="仿宋_GB2312"/>
                <w:sz w:val="21"/>
                <w:b/>
              </w:rPr>
              <w:t>▲</w:t>
            </w: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7</w:t>
            </w:r>
            <w:r>
              <w:rPr>
                <w:rFonts w:ascii="仿宋_GB2312" w:hAnsi="仿宋_GB2312" w:cs="仿宋_GB2312" w:eastAsia="仿宋_GB2312"/>
              </w:rPr>
              <w:t>）电控：</w:t>
            </w:r>
            <w:r>
              <w:rPr>
                <w:rFonts w:ascii="仿宋_GB2312" w:hAnsi="仿宋_GB2312" w:cs="仿宋_GB2312" w:eastAsia="仿宋_GB2312"/>
              </w:rPr>
              <w:t>60V双36管无刷控制器；</w:t>
            </w:r>
          </w:p>
          <w:p>
            <w:pPr>
              <w:pStyle w:val="null3"/>
            </w:pPr>
            <w:r>
              <w:rPr>
                <w:rFonts w:ascii="仿宋_GB2312" w:hAnsi="仿宋_GB2312" w:cs="仿宋_GB2312" w:eastAsia="仿宋_GB2312"/>
                <w:sz w:val="21"/>
                <w:b/>
              </w:rPr>
              <w:t>▲</w:t>
            </w: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8</w:t>
            </w:r>
            <w:r>
              <w:rPr>
                <w:rFonts w:ascii="仿宋_GB2312" w:hAnsi="仿宋_GB2312" w:cs="仿宋_GB2312" w:eastAsia="仿宋_GB2312"/>
              </w:rPr>
              <w:t>）电池：锂电池，电压</w:t>
            </w:r>
            <w:r>
              <w:rPr>
                <w:rFonts w:ascii="仿宋_GB2312" w:hAnsi="仿宋_GB2312" w:cs="仿宋_GB2312" w:eastAsia="仿宋_GB2312"/>
              </w:rPr>
              <w:t>60V，额定容量≥300Ah；</w:t>
            </w:r>
          </w:p>
          <w:p>
            <w:pPr>
              <w:pStyle w:val="null3"/>
            </w:pPr>
            <w:r>
              <w:rPr>
                <w:rFonts w:ascii="仿宋_GB2312" w:hAnsi="仿宋_GB2312" w:cs="仿宋_GB2312" w:eastAsia="仿宋_GB2312"/>
                <w:sz w:val="21"/>
                <w:b/>
              </w:rPr>
              <w:t>▲</w:t>
            </w:r>
            <w:r>
              <w:rPr>
                <w:rFonts w:ascii="仿宋_GB2312" w:hAnsi="仿宋_GB2312" w:cs="仿宋_GB2312" w:eastAsia="仿宋_GB2312"/>
              </w:rPr>
              <w:t>（</w:t>
            </w:r>
            <w:r>
              <w:rPr>
                <w:rFonts w:ascii="仿宋_GB2312" w:hAnsi="仿宋_GB2312" w:cs="仿宋_GB2312" w:eastAsia="仿宋_GB2312"/>
              </w:rPr>
              <w:t>19</w:t>
            </w:r>
            <w:r>
              <w:rPr>
                <w:rFonts w:ascii="仿宋_GB2312" w:hAnsi="仿宋_GB2312" w:cs="仿宋_GB2312" w:eastAsia="仿宋_GB2312"/>
              </w:rPr>
              <w:t>）充电时间：</w:t>
            </w:r>
            <w:r>
              <w:rPr>
                <w:rFonts w:ascii="仿宋_GB2312" w:hAnsi="仿宋_GB2312" w:cs="仿宋_GB2312" w:eastAsia="仿宋_GB2312"/>
              </w:rPr>
              <w:t>≤8小时；</w:t>
            </w:r>
          </w:p>
          <w:p>
            <w:pPr>
              <w:pStyle w:val="null3"/>
            </w:pPr>
            <w:r>
              <w:rPr>
                <w:rFonts w:ascii="仿宋_GB2312" w:hAnsi="仿宋_GB2312" w:cs="仿宋_GB2312" w:eastAsia="仿宋_GB2312"/>
                <w:b/>
              </w:rPr>
              <w:t>★</w:t>
            </w:r>
            <w:r>
              <w:rPr>
                <w:rFonts w:ascii="仿宋_GB2312" w:hAnsi="仿宋_GB2312" w:cs="仿宋_GB2312" w:eastAsia="仿宋_GB2312"/>
              </w:rPr>
              <w:t>（</w:t>
            </w:r>
            <w:r>
              <w:rPr>
                <w:rFonts w:ascii="仿宋_GB2312" w:hAnsi="仿宋_GB2312" w:cs="仿宋_GB2312" w:eastAsia="仿宋_GB2312"/>
              </w:rPr>
              <w:t>20</w:t>
            </w:r>
            <w:r>
              <w:rPr>
                <w:rFonts w:ascii="仿宋_GB2312" w:hAnsi="仿宋_GB2312" w:cs="仿宋_GB2312" w:eastAsia="仿宋_GB2312"/>
              </w:rPr>
              <w:t>）续航里程：</w:t>
            </w:r>
            <w:r>
              <w:rPr>
                <w:rFonts w:ascii="仿宋_GB2312" w:hAnsi="仿宋_GB2312" w:cs="仿宋_GB2312" w:eastAsia="仿宋_GB2312"/>
              </w:rPr>
              <w:t>≥50km</w:t>
            </w:r>
            <w:r>
              <w:rPr>
                <w:rFonts w:ascii="仿宋_GB2312" w:hAnsi="仿宋_GB2312" w:cs="仿宋_GB2312" w:eastAsia="仿宋_GB2312"/>
              </w:rPr>
              <w:t>；</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1</w:t>
            </w:r>
            <w:r>
              <w:rPr>
                <w:rFonts w:ascii="仿宋_GB2312" w:hAnsi="仿宋_GB2312" w:cs="仿宋_GB2312" w:eastAsia="仿宋_GB2312"/>
              </w:rPr>
              <w:t>）仪表台：注塑成型仪表台，含：电源锁，仪表，组合开关；</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2</w:t>
            </w:r>
            <w:r>
              <w:rPr>
                <w:rFonts w:ascii="仿宋_GB2312" w:hAnsi="仿宋_GB2312" w:cs="仿宋_GB2312" w:eastAsia="仿宋_GB2312"/>
              </w:rPr>
              <w:t>）整车配备</w:t>
            </w:r>
            <w:r>
              <w:rPr>
                <w:rFonts w:ascii="仿宋_GB2312" w:hAnsi="仿宋_GB2312" w:cs="仿宋_GB2312" w:eastAsia="仿宋_GB2312"/>
              </w:rPr>
              <w:t>LED照明灯、左右转向灯、刹车灯、行车灯、仪表、电喇叭；</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3</w:t>
            </w:r>
            <w:r>
              <w:rPr>
                <w:rFonts w:ascii="仿宋_GB2312" w:hAnsi="仿宋_GB2312" w:cs="仿宋_GB2312" w:eastAsia="仿宋_GB2312"/>
              </w:rPr>
              <w:t>）座椅及靠背：皮革软座椅，皮革软靠背。</w:t>
            </w:r>
          </w:p>
          <w:p>
            <w:pPr>
              <w:pStyle w:val="null3"/>
            </w:pPr>
            <w:r>
              <w:rPr>
                <w:rFonts w:ascii="仿宋_GB2312" w:hAnsi="仿宋_GB2312" w:cs="仿宋_GB2312" w:eastAsia="仿宋_GB2312"/>
              </w:rPr>
              <w:t>2、清洗系统</w:t>
            </w:r>
          </w:p>
          <w:p>
            <w:pPr>
              <w:pStyle w:val="null3"/>
            </w:pPr>
            <w:r>
              <w:rPr>
                <w:rFonts w:ascii="仿宋_GB2312" w:hAnsi="仿宋_GB2312" w:cs="仿宋_GB2312" w:eastAsia="仿宋_GB2312"/>
                <w:b/>
              </w:rPr>
              <w:t>★</w:t>
            </w:r>
            <w:r>
              <w:rPr>
                <w:rFonts w:ascii="仿宋_GB2312" w:hAnsi="仿宋_GB2312" w:cs="仿宋_GB2312" w:eastAsia="仿宋_GB2312"/>
              </w:rPr>
              <w:t>（</w:t>
            </w:r>
            <w:r>
              <w:rPr>
                <w:rFonts w:ascii="仿宋_GB2312" w:hAnsi="仿宋_GB2312" w:cs="仿宋_GB2312" w:eastAsia="仿宋_GB2312"/>
              </w:rPr>
              <w:t>1）水箱容积：≥580L；</w:t>
            </w:r>
          </w:p>
          <w:p>
            <w:pPr>
              <w:pStyle w:val="null3"/>
            </w:pPr>
            <w:r>
              <w:rPr>
                <w:rFonts w:ascii="仿宋_GB2312" w:hAnsi="仿宋_GB2312" w:cs="仿宋_GB2312" w:eastAsia="仿宋_GB2312"/>
              </w:rPr>
              <w:t>（</w:t>
            </w:r>
            <w:r>
              <w:rPr>
                <w:rFonts w:ascii="仿宋_GB2312" w:hAnsi="仿宋_GB2312" w:cs="仿宋_GB2312" w:eastAsia="仿宋_GB2312"/>
              </w:rPr>
              <w:t>2）高压电动泵：额定功率≥4000W；</w:t>
            </w:r>
          </w:p>
          <w:p>
            <w:pPr>
              <w:pStyle w:val="null3"/>
            </w:pPr>
            <w:r>
              <w:rPr>
                <w:rFonts w:ascii="仿宋_GB2312" w:hAnsi="仿宋_GB2312" w:cs="仿宋_GB2312" w:eastAsia="仿宋_GB2312"/>
                <w:sz w:val="21"/>
                <w:b/>
              </w:rPr>
              <w:t>▲</w:t>
            </w:r>
            <w:r>
              <w:rPr>
                <w:rFonts w:ascii="仿宋_GB2312" w:hAnsi="仿宋_GB2312" w:cs="仿宋_GB2312" w:eastAsia="仿宋_GB2312"/>
              </w:rPr>
              <w:t>（</w:t>
            </w:r>
            <w:r>
              <w:rPr>
                <w:rFonts w:ascii="仿宋_GB2312" w:hAnsi="仿宋_GB2312" w:cs="仿宋_GB2312" w:eastAsia="仿宋_GB2312"/>
              </w:rPr>
              <w:t>3）单箱水冲洗时间：≥60min；</w:t>
            </w:r>
          </w:p>
          <w:p>
            <w:pPr>
              <w:pStyle w:val="null3"/>
            </w:pPr>
            <w:r>
              <w:rPr>
                <w:rFonts w:ascii="仿宋_GB2312" w:hAnsi="仿宋_GB2312" w:cs="仿宋_GB2312" w:eastAsia="仿宋_GB2312"/>
                <w:sz w:val="21"/>
                <w:b/>
              </w:rPr>
              <w:t>▲</w:t>
            </w:r>
            <w:r>
              <w:rPr>
                <w:rFonts w:ascii="仿宋_GB2312" w:hAnsi="仿宋_GB2312" w:cs="仿宋_GB2312" w:eastAsia="仿宋_GB2312"/>
              </w:rPr>
              <w:t>（</w:t>
            </w:r>
            <w:r>
              <w:rPr>
                <w:rFonts w:ascii="仿宋_GB2312" w:hAnsi="仿宋_GB2312" w:cs="仿宋_GB2312" w:eastAsia="仿宋_GB2312"/>
              </w:rPr>
              <w:t>4）左右侧冲有效宽度：≥5m；</w:t>
            </w:r>
          </w:p>
          <w:p>
            <w:pPr>
              <w:pStyle w:val="null3"/>
            </w:pPr>
            <w:r>
              <w:rPr>
                <w:rFonts w:ascii="仿宋_GB2312" w:hAnsi="仿宋_GB2312" w:cs="仿宋_GB2312" w:eastAsia="仿宋_GB2312"/>
                <w:sz w:val="21"/>
                <w:b/>
              </w:rPr>
              <w:t>▲</w:t>
            </w: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）后洒有效距离：</w:t>
            </w:r>
            <w:r>
              <w:rPr>
                <w:rFonts w:ascii="仿宋_GB2312" w:hAnsi="仿宋_GB2312" w:cs="仿宋_GB2312" w:eastAsia="仿宋_GB2312"/>
              </w:rPr>
              <w:t>≥3m；</w:t>
            </w:r>
          </w:p>
          <w:p>
            <w:pPr>
              <w:pStyle w:val="null3"/>
            </w:pPr>
            <w:r>
              <w:rPr>
                <w:rFonts w:ascii="仿宋_GB2312" w:hAnsi="仿宋_GB2312" w:cs="仿宋_GB2312" w:eastAsia="仿宋_GB2312"/>
              </w:rPr>
              <w:t>（</w:t>
            </w:r>
            <w:r>
              <w:rPr>
                <w:rFonts w:ascii="仿宋_GB2312" w:hAnsi="仿宋_GB2312" w:cs="仿宋_GB2312" w:eastAsia="仿宋_GB2312"/>
              </w:rPr>
              <w:t>6</w:t>
            </w:r>
            <w:r>
              <w:rPr>
                <w:rFonts w:ascii="仿宋_GB2312" w:hAnsi="仿宋_GB2312" w:cs="仿宋_GB2312" w:eastAsia="仿宋_GB2312"/>
              </w:rPr>
              <w:t>）水枪喷头型号涵盖：</w:t>
            </w:r>
            <w:r>
              <w:rPr>
                <w:rFonts w:ascii="仿宋_GB2312" w:hAnsi="仿宋_GB2312" w:cs="仿宋_GB2312" w:eastAsia="仿宋_GB2312"/>
              </w:rPr>
              <w:t>0°、15°、25°、45°；</w:t>
            </w:r>
          </w:p>
          <w:p>
            <w:pPr>
              <w:pStyle w:val="null3"/>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）卷管器：</w:t>
            </w:r>
            <w:r>
              <w:rPr>
                <w:rFonts w:ascii="仿宋_GB2312" w:hAnsi="仿宋_GB2312" w:cs="仿宋_GB2312" w:eastAsia="仿宋_GB2312"/>
                <w:sz w:val="21"/>
              </w:rPr>
              <w:t>15米重型双臂自动收缩式卷管器，配不锈钢水过滤器。</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b/>
              </w:rPr>
              <w:t>注：</w:t>
            </w:r>
            <w:r>
              <w:rPr>
                <w:rFonts w:ascii="仿宋_GB2312" w:hAnsi="仿宋_GB2312" w:cs="仿宋_GB2312" w:eastAsia="仿宋_GB2312"/>
                <w:b/>
              </w:rPr>
              <w:t>以上参数供应商应在技术响应偏离表中逐条响应，如实填写，否则按无效投标处理，其中：</w:t>
            </w:r>
          </w:p>
          <w:p>
            <w:pPr>
              <w:pStyle w:val="null3"/>
              <w:jc w:val="both"/>
            </w:pPr>
            <w:r>
              <w:rPr>
                <w:rFonts w:ascii="仿宋_GB2312" w:hAnsi="仿宋_GB2312" w:cs="仿宋_GB2312" w:eastAsia="仿宋_GB2312"/>
                <w:b/>
              </w:rPr>
              <w:t>1、“★”为实质性参数，供应商必须满足其参数需求，否则按照无效投标处理；</w:t>
            </w:r>
          </w:p>
          <w:p>
            <w:pPr>
              <w:pStyle w:val="null3"/>
              <w:jc w:val="both"/>
            </w:pPr>
            <w:r>
              <w:rPr>
                <w:rFonts w:ascii="仿宋_GB2312" w:hAnsi="仿宋_GB2312" w:cs="仿宋_GB2312" w:eastAsia="仿宋_GB2312"/>
                <w:b/>
              </w:rPr>
              <w:t>2、“▲”为重要性参数，允许负偏离，若不符合评审要求，可能会被扣分；</w:t>
            </w:r>
          </w:p>
          <w:p>
            <w:pPr>
              <w:pStyle w:val="null3"/>
              <w:jc w:val="both"/>
            </w:pPr>
            <w:r>
              <w:rPr>
                <w:rFonts w:ascii="仿宋_GB2312" w:hAnsi="仿宋_GB2312" w:cs="仿宋_GB2312" w:eastAsia="仿宋_GB2312"/>
                <w:b/>
              </w:rPr>
              <w:t>3、除“★、▲”以外的参数，为一般性参数，允许负偏离，若不符合评审要求，可能会被扣分。</w:t>
            </w:r>
          </w:p>
          <w:p>
            <w:pPr>
              <w:pStyle w:val="null3"/>
              <w:jc w:val="both"/>
            </w:pPr>
            <w:r>
              <w:rPr>
                <w:rFonts w:ascii="仿宋_GB2312" w:hAnsi="仿宋_GB2312" w:cs="仿宋_GB2312" w:eastAsia="仿宋_GB2312"/>
                <w:b/>
              </w:rPr>
              <w:t>4、实质性参数（标★项）及重要性参数（标▲项）供应商应提供相关证明材料（包含但不限于：①第三方检测机构出具的检测报告或②官网功能截图或③宣传彩页或④厂家出具的白皮书或⑤厂家出具的产品说明书等予以证明），并按投标文件格式要求附相关证明材料。</w:t>
            </w:r>
          </w:p>
          <w:p>
            <w:pPr>
              <w:pStyle w:val="null3"/>
              <w:jc w:val="both"/>
            </w:pPr>
            <w:r>
              <w:rPr>
                <w:rFonts w:ascii="仿宋_GB2312" w:hAnsi="仿宋_GB2312" w:cs="仿宋_GB2312" w:eastAsia="仿宋_GB2312"/>
                <w:b/>
              </w:rPr>
              <w:t>5、一般性参数（除标★、标▲项），供应商应在技术响应偏离表后附“针对响应内容真实性的承诺函”，对于虚假响应或承诺的，按照政府采购相关法律法规中有关“提供虚假材料的规定”进行处罚；对于响应及承诺后未按原响应内容及承诺内容履约的，采购人依法追究其违约责任。</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b/>
              </w:rPr>
              <w:t>注：</w:t>
            </w:r>
          </w:p>
          <w:p>
            <w:pPr>
              <w:pStyle w:val="null3"/>
              <w:jc w:val="both"/>
            </w:pPr>
            <w:r>
              <w:rPr>
                <w:rFonts w:ascii="仿宋_GB2312" w:hAnsi="仿宋_GB2312" w:cs="仿宋_GB2312" w:eastAsia="仿宋_GB2312"/>
              </w:rPr>
              <w:t>按照《陕西省财政厅关于在政府采购活动中实施本国产品标准及相关政策的通知》陕财办采〔</w:t>
            </w:r>
            <w:r>
              <w:rPr>
                <w:rFonts w:ascii="仿宋_GB2312" w:hAnsi="仿宋_GB2312" w:cs="仿宋_GB2312" w:eastAsia="仿宋_GB2312"/>
              </w:rPr>
              <w:t>2026〕2号文件的要求，对于落实本国产品的优惠政策如下：</w:t>
            </w:r>
          </w:p>
          <w:p>
            <w:pPr>
              <w:pStyle w:val="null3"/>
              <w:jc w:val="both"/>
            </w:pPr>
            <w:r>
              <w:rPr>
                <w:rFonts w:ascii="仿宋_GB2312" w:hAnsi="仿宋_GB2312" w:cs="仿宋_GB2312" w:eastAsia="仿宋_GB2312"/>
              </w:rPr>
              <w:t>（</w:t>
            </w:r>
            <w:r>
              <w:rPr>
                <w:rFonts w:ascii="仿宋_GB2312" w:hAnsi="仿宋_GB2312" w:cs="仿宋_GB2312" w:eastAsia="仿宋_GB2312"/>
              </w:rPr>
              <w:t>1）对于仅有本国产品参与竞争的政府采购项目，本国产品不享受价格扣除评审优惠。</w:t>
            </w:r>
          </w:p>
          <w:p>
            <w:pPr>
              <w:pStyle w:val="null3"/>
              <w:jc w:val="both"/>
            </w:pPr>
            <w:r>
              <w:rPr>
                <w:rFonts w:ascii="仿宋_GB2312" w:hAnsi="仿宋_GB2312" w:cs="仿宋_GB2312" w:eastAsia="仿宋_GB2312"/>
              </w:rPr>
              <w:t>（</w:t>
            </w:r>
            <w:r>
              <w:rPr>
                <w:rFonts w:ascii="仿宋_GB2312" w:hAnsi="仿宋_GB2312" w:cs="仿宋_GB2312" w:eastAsia="仿宋_GB2312"/>
              </w:rPr>
              <w:t>2）对于非专门面向中小企业的采购项目，既有本国产品也有非本国产品参与竞争，且提供本国产品的供应商同时为小微企业的，应按照《通知》和《政府采购促进中小企业发展管理办法》规定，对该供应商的产品同时给予支持本国产品和小微企业产品的价格评审优惠。相关价格评审扣除优惠，均应该在供应商原始报价基础上计算，用扣除后的价格参与评审。</w:t>
            </w:r>
          </w:p>
          <w:p>
            <w:pPr>
              <w:pStyle w:val="null3"/>
              <w:jc w:val="both"/>
            </w:pPr>
            <w:r>
              <w:rPr>
                <w:rFonts w:ascii="仿宋_GB2312" w:hAnsi="仿宋_GB2312" w:cs="仿宋_GB2312" w:eastAsia="仿宋_GB2312"/>
              </w:rPr>
              <w:t>（</w:t>
            </w:r>
            <w:r>
              <w:rPr>
                <w:rFonts w:ascii="仿宋_GB2312" w:hAnsi="仿宋_GB2312" w:cs="仿宋_GB2312" w:eastAsia="仿宋_GB2312"/>
              </w:rPr>
              <w:t>3）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4）价格扣除以供应商提供的“关于符合本国产品标准的声明函”为准。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自合同签订之日起30个日历日内完成交货、安装、调试完成。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到货验收合格后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1、项目验收分初验和终验: 初验：货物到达交货地点后，由采购方根据合同对货物（产品）的名称、品牌、规格、型号、产地、数量进行检查。 终验：由采购人进行终验（最终验收），合格后签发《终验合格单》。 2、验收不合格的中标单位，必须在接到通知后7个日历日内确保货物通过验收。若接到通知后7个日历日内验收仍不合格，采购人可提出索赔或取消其供货合同。 3、验收依据 （1）合同文本及合同补充文件（条款）。 （2）招标文件。 （3）中标人的投标文件。 （4）合同货物清单。 （5）其他证明资料。</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1、质保期为终验合格之日起1年。中标人承诺的质保时间超过上述要求的，按其承诺时间质保。 2、招标文件中技术参数中有规定的应以招标文件中技术参数要求为准，国家有规定的且优于招标文件的以国家规定为准。 3、所有产品质量必须符合国家有关规范和相关政策，所有产品必须是未使用过的新产品，质量优良、渠道正当，配置合理。 4、质保期出现的质量问题由中标人负责解决（调换）并承担所有费用。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一般资格审查证明材料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财务审计报告（至少包括资产负债表、利润表、现金流量表及财务报表附注，成立时间至提交响应文件截止时间不足一年的可提供成立后任意时段的资产负债表），或开标前3个月内其基本存款账户开户银行出具的资信证明及基本存款账户开户证明资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一般资格审查证明材料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一般资格审查证明材料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主体经营资格</w:t>
            </w:r>
          </w:p>
        </w:tc>
        <w:tc>
          <w:tcPr>
            <w:tcW w:type="dxa" w:w="3322"/>
          </w:tcPr>
          <w:p>
            <w:pPr>
              <w:pStyle w:val="null3"/>
            </w:pPr>
            <w:r>
              <w:rPr>
                <w:rFonts w:ascii="仿宋_GB2312" w:hAnsi="仿宋_GB2312" w:cs="仿宋_GB2312" w:eastAsia="仿宋_GB2312"/>
              </w:rPr>
              <w:t>法人或者其他组织的营业执照等证明文件或者自然人身份证明；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自2025年09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自2025年09月01日以来已缴存的至少一个月的纳税证明或完税证明，纳税证明或完税证明上应有代收机构或税务机关的公章或业务专用章。依法免税的投标人应提供相关文件证明；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列入“信用中国”网站（www.creditchina.gov.cn）重大税收违法失信主体和严重失信主体名单，未被列入中国执行信息公开网（https://zxgk.court.gov.cn/shixin/）失信被执行人，不得为“中国政府采购网”（www.ccgp.gov.cn）政府采购严重违法失信行为记录名单中禁止参加政府采购活动的投标人；</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须提供法定代表人授权书（附法定代表人、被授权人身份证复印件）；法定代表人直接参加投标的，须提供法定代表人身份证明文件；</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联合体不得参与</w:t>
            </w:r>
          </w:p>
        </w:tc>
        <w:tc>
          <w:tcPr>
            <w:tcW w:type="dxa" w:w="3322"/>
          </w:tcPr>
          <w:p>
            <w:pPr>
              <w:pStyle w:val="null3"/>
            </w:pPr>
            <w:r>
              <w:rPr>
                <w:rFonts w:ascii="仿宋_GB2312" w:hAnsi="仿宋_GB2312" w:cs="仿宋_GB2312" w:eastAsia="仿宋_GB2312"/>
              </w:rPr>
              <w:t>投标人应提供针对本项目的非联合体声明。</w:t>
            </w:r>
          </w:p>
        </w:tc>
        <w:tc>
          <w:tcPr>
            <w:tcW w:type="dxa" w:w="1661"/>
          </w:tcPr>
          <w:p>
            <w:pPr>
              <w:pStyle w:val="null3"/>
            </w:pPr>
            <w:r>
              <w:rPr>
                <w:rFonts w:ascii="仿宋_GB2312" w:hAnsi="仿宋_GB2312" w:cs="仿宋_GB2312" w:eastAsia="仿宋_GB2312"/>
              </w:rPr>
              <w:t>特殊资格审查资料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评标委员会认为投标人报价明显低于其他实质性响应的投标人报价，有可能影响产品质量或者不能诚信履约的，按照《关于推动解决政府采购异常低价问题的通知》财库〔2026〕2号文件的要求，可启动政府采购异常低价审查，具体要求如下：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标委员会启动异常低价投标（响应）审查后，属于前述第1项至第4项情形的，应当要求相关投标人在评审现场30分钟内对投标（响应）价格作出解释，提供项目具体成本测算等与报价合理性相关的书面说明及必要的证明材料，包括但不限于原材料成本、人工成本、制造费用等。其中，属于第3项情形，投标人已随投标（响应）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投标人提交的相关证明材料，应当加盖投标人（法定名称）电子印章，在评标委员会要求的时间内通过项目电子化交易系统进行提交，否则提交的相关证明材料无效。投标人不能证明其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符合“投标文件格式”要求</w:t>
            </w:r>
          </w:p>
        </w:tc>
        <w:tc>
          <w:tcPr>
            <w:tcW w:type="dxa" w:w="1661"/>
          </w:tcPr>
          <w:p>
            <w:pPr>
              <w:pStyle w:val="null3"/>
            </w:pPr>
            <w:r>
              <w:rPr>
                <w:rFonts w:ascii="仿宋_GB2312" w:hAnsi="仿宋_GB2312" w:cs="仿宋_GB2312" w:eastAsia="仿宋_GB2312"/>
              </w:rPr>
              <w:t>商务响应偏离表 技术方案4-安装调试 分项报价表 技术响应偏离表 技术方案2-产品选型 技术方案1-产品来源及产品技术参数 技术方案6-培训方案 投标函 一般资格审查证明材料 特殊资格审查资料 标的清单 投标文件封面 技术方案3-供货实施方案 类似业绩一览表 技术方案7-售后服务 技术方案5-质量保障</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文件应逐页盖章，有法定代表人或被授权人签字或盖章须按要求签字或盖章；</w:t>
            </w:r>
          </w:p>
        </w:tc>
        <w:tc>
          <w:tcPr>
            <w:tcW w:type="dxa" w:w="1661"/>
          </w:tcPr>
          <w:p>
            <w:pPr>
              <w:pStyle w:val="null3"/>
            </w:pPr>
            <w:r>
              <w:rPr>
                <w:rFonts w:ascii="仿宋_GB2312" w:hAnsi="仿宋_GB2312" w:cs="仿宋_GB2312" w:eastAsia="仿宋_GB2312"/>
              </w:rPr>
              <w:t>商务响应偏离表 技术方案4-安装调试 开标一览表 技术响应偏离表 分项报价表 中小企业声明函 技术方案2-产品选型 技术方案1-产品来源及产品技术参数 技术方案6-培训方案 投标函 残疾人福利性单位声明函 一般资格审查证明材料 标的清单 关于符合本国产品标准的声明函 特殊资格审查资料 投标文件封面 技术方案3-供货实施方案 类似业绩一览表 监狱企业的证明文件 技术方案7-售后服务 技术方案5-质量保障</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只能有一个有效报价，且不能超过本项目采购预算（最高限价）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应符合招标文件规定</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商务响应偏离表 技术方案4-安装调试 开标一览表 技术响应偏离表 中小企业声明函 技术方案2-产品选型 技术方案1-产品来源及产品技术参数 技术方案6-培训方案 投标函 一般资格审查证明材料 特殊资格审查资料 标的清单 投标文件封面 技术方案3-供货实施方案 类似业绩一览表 技术方案7-售后服务 技术方案5-质量保障</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产品来源</w:t>
            </w:r>
          </w:p>
        </w:tc>
        <w:tc>
          <w:tcPr>
            <w:tcW w:type="dxa" w:w="2492"/>
          </w:tcPr>
          <w:p>
            <w:pPr>
              <w:pStyle w:val="null3"/>
            </w:pPr>
            <w:r>
              <w:rPr>
                <w:rFonts w:ascii="仿宋_GB2312" w:hAnsi="仿宋_GB2312" w:cs="仿宋_GB2312" w:eastAsia="仿宋_GB2312"/>
              </w:rPr>
              <w:t>投标人提供“技术参数与性能指标”中序号1、2、3（环卫休息座椅（工具箱）、环卫电动保洁三轮车、电动高压清洗三轮车）对应产品的合法来源渠道证明文件（投标人为代理商的提供包含但不限于：产品制造商授权或销售协议或代理协议或进货单等证明材料，投标人为制造商的提供产品为自己制造的说明材料），每提供一份合格的证明材料得1分，本项目最高得3分； 注：未提供合法来源渠道证明材料不得分。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技术方案1-产品来源及产品技术参数</w:t>
            </w:r>
          </w:p>
        </w:tc>
      </w:tr>
      <w:tr>
        <w:tc>
          <w:tcPr>
            <w:tcW w:type="dxa" w:w="831"/>
            <w:vMerge/>
          </w:tcPr>
          <w:p/>
        </w:tc>
        <w:tc>
          <w:tcPr>
            <w:tcW w:type="dxa" w:w="1661"/>
          </w:tcPr>
          <w:p>
            <w:pPr>
              <w:pStyle w:val="null3"/>
            </w:pPr>
            <w:r>
              <w:rPr>
                <w:rFonts w:ascii="仿宋_GB2312" w:hAnsi="仿宋_GB2312" w:cs="仿宋_GB2312" w:eastAsia="仿宋_GB2312"/>
              </w:rPr>
              <w:t>产品技术参数1</w:t>
            </w:r>
          </w:p>
        </w:tc>
        <w:tc>
          <w:tcPr>
            <w:tcW w:type="dxa" w:w="2492"/>
          </w:tcPr>
          <w:p>
            <w:pPr>
              <w:pStyle w:val="null3"/>
            </w:pPr>
            <w:r>
              <w:rPr>
                <w:rFonts w:ascii="仿宋_GB2312" w:hAnsi="仿宋_GB2312" w:cs="仿宋_GB2312" w:eastAsia="仿宋_GB2312"/>
              </w:rPr>
              <w:t>1、“技术参数与性能指标”中标“▲”的共12项为重要性参数。投标人全部满足要求的得12分，每有一项不满足的扣1分，扣完12分为止。 注：标“▲”的重要性参数要求投标人提供充足的证明材料（包含但不限于：①第三方检测机构出具的检测报告或②官网功能截图或③宣传彩页或④厂家出具的白皮书或⑤厂家出具的产品说明书等）予以证明，证明材料应编制在投标文件中，投标人自行承担因证明材料不全而被视为技术参数不符合打分要求的风险。</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技术方案1-产品来源及产品技术参数</w:t>
            </w:r>
          </w:p>
        </w:tc>
      </w:tr>
      <w:tr>
        <w:tc>
          <w:tcPr>
            <w:tcW w:type="dxa" w:w="831"/>
            <w:vMerge/>
          </w:tcPr>
          <w:p/>
        </w:tc>
        <w:tc>
          <w:tcPr>
            <w:tcW w:type="dxa" w:w="1661"/>
          </w:tcPr>
          <w:p>
            <w:pPr>
              <w:pStyle w:val="null3"/>
            </w:pPr>
            <w:r>
              <w:rPr>
                <w:rFonts w:ascii="仿宋_GB2312" w:hAnsi="仿宋_GB2312" w:cs="仿宋_GB2312" w:eastAsia="仿宋_GB2312"/>
              </w:rPr>
              <w:t>产品技术参数2</w:t>
            </w:r>
          </w:p>
        </w:tc>
        <w:tc>
          <w:tcPr>
            <w:tcW w:type="dxa" w:w="2492"/>
          </w:tcPr>
          <w:p>
            <w:pPr>
              <w:pStyle w:val="null3"/>
            </w:pPr>
            <w:r>
              <w:rPr>
                <w:rFonts w:ascii="仿宋_GB2312" w:hAnsi="仿宋_GB2312" w:cs="仿宋_GB2312" w:eastAsia="仿宋_GB2312"/>
              </w:rPr>
              <w:t>1、“技术参数与性能指标”中除“★、▲”以外的参数共48项，投标人须在技术响应偏离表中如实填写并后附“针对响应内容真实性的承诺函”。投标人全部满足要求且提供承诺函的得12分，每有一项不满足（负偏离）的扣0.25分，扣完12分为止。未提供承诺函的本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w:t>
            </w:r>
          </w:p>
        </w:tc>
      </w:tr>
      <w:tr>
        <w:tc>
          <w:tcPr>
            <w:tcW w:type="dxa" w:w="831"/>
            <w:vMerge/>
          </w:tcPr>
          <w:p/>
        </w:tc>
        <w:tc>
          <w:tcPr>
            <w:tcW w:type="dxa" w:w="1661"/>
          </w:tcPr>
          <w:p>
            <w:pPr>
              <w:pStyle w:val="null3"/>
            </w:pPr>
            <w:r>
              <w:rPr>
                <w:rFonts w:ascii="仿宋_GB2312" w:hAnsi="仿宋_GB2312" w:cs="仿宋_GB2312" w:eastAsia="仿宋_GB2312"/>
              </w:rPr>
              <w:t>产品选型</w:t>
            </w:r>
          </w:p>
        </w:tc>
        <w:tc>
          <w:tcPr>
            <w:tcW w:type="dxa" w:w="2492"/>
          </w:tcPr>
          <w:p>
            <w:pPr>
              <w:pStyle w:val="null3"/>
            </w:pPr>
            <w:r>
              <w:rPr>
                <w:rFonts w:ascii="仿宋_GB2312" w:hAnsi="仿宋_GB2312" w:cs="仿宋_GB2312" w:eastAsia="仿宋_GB2312"/>
              </w:rPr>
              <w:t>1、评审内容 包含2项：①产品选型；②产品细节描述； 2、评审标准 （1）评审内容每项满分为1.5分，共3分； （2）评审内容每缺失一项扣1.5分，每项内容有下列任意瑕疵的扣0.15分（单项评审内容中有相同瑕疵不重复扣分），扣完为止；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技术方案2-产品选型</w:t>
            </w:r>
          </w:p>
        </w:tc>
      </w:tr>
      <w:tr>
        <w:tc>
          <w:tcPr>
            <w:tcW w:type="dxa" w:w="831"/>
            <w:vMerge/>
          </w:tcPr>
          <w:p/>
        </w:tc>
        <w:tc>
          <w:tcPr>
            <w:tcW w:type="dxa" w:w="1661"/>
          </w:tcPr>
          <w:p>
            <w:pPr>
              <w:pStyle w:val="null3"/>
            </w:pPr>
            <w:r>
              <w:rPr>
                <w:rFonts w:ascii="仿宋_GB2312" w:hAnsi="仿宋_GB2312" w:cs="仿宋_GB2312" w:eastAsia="仿宋_GB2312"/>
              </w:rPr>
              <w:t>供货实施方案</w:t>
            </w:r>
          </w:p>
        </w:tc>
        <w:tc>
          <w:tcPr>
            <w:tcW w:type="dxa" w:w="2492"/>
          </w:tcPr>
          <w:p>
            <w:pPr>
              <w:pStyle w:val="null3"/>
            </w:pPr>
            <w:r>
              <w:rPr>
                <w:rFonts w:ascii="仿宋_GB2312" w:hAnsi="仿宋_GB2312" w:cs="仿宋_GB2312" w:eastAsia="仿宋_GB2312"/>
              </w:rPr>
              <w:t>1、评审内容 包含5项：①供货整体规划、②供货进度安排；③运输方案；④人员配置及分工；⑤配送保障； 2、评审标准 （1）评审内容每项满分为2分，共10分； （2）评审内容每缺失一项扣2分，每项内容有下列任意瑕疵的扣0.2分（单项评审内容中有相同瑕疵不重复扣分），扣完为止；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技术方案3-供货实施方案</w:t>
            </w:r>
          </w:p>
        </w:tc>
      </w:tr>
      <w:tr>
        <w:tc>
          <w:tcPr>
            <w:tcW w:type="dxa" w:w="831"/>
            <w:vMerge/>
          </w:tcPr>
          <w:p/>
        </w:tc>
        <w:tc>
          <w:tcPr>
            <w:tcW w:type="dxa" w:w="1661"/>
          </w:tcPr>
          <w:p>
            <w:pPr>
              <w:pStyle w:val="null3"/>
            </w:pPr>
            <w:r>
              <w:rPr>
                <w:rFonts w:ascii="仿宋_GB2312" w:hAnsi="仿宋_GB2312" w:cs="仿宋_GB2312" w:eastAsia="仿宋_GB2312"/>
              </w:rPr>
              <w:t>安装调试</w:t>
            </w:r>
          </w:p>
        </w:tc>
        <w:tc>
          <w:tcPr>
            <w:tcW w:type="dxa" w:w="2492"/>
          </w:tcPr>
          <w:p>
            <w:pPr>
              <w:pStyle w:val="null3"/>
            </w:pPr>
            <w:r>
              <w:rPr>
                <w:rFonts w:ascii="仿宋_GB2312" w:hAnsi="仿宋_GB2312" w:cs="仿宋_GB2312" w:eastAsia="仿宋_GB2312"/>
              </w:rPr>
              <w:t>1、评审内容 包含2项：①安装组织措施；②调试组织措施； 2、评审标准 （1）评审内容每项满分为2分，共4分； （2）评审内容每缺失一项扣2分，每项内容有下列任意瑕疵的扣0.2分（单项评审内容中有相同瑕疵不重复扣分），扣完为止；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技术方案4-安装调试</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1、评审内容 包含4项：①质量目标；②质量控制措施；③安装质量保障；④质量承诺； 2、评审标准 （1）评审内容每项满分为2分，共8分； （2）评审内容每缺失一项扣2分，每项内容有下列任意瑕疵的扣0.2分（单项评审内容中有相同瑕疵不重复扣分），扣完为止；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技术方案5-质量保障</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1、评审内容 包含2项：①培训目标；②培训内容； 2、评审标准 （1）评审内容每项满分为2分，共4分； （2）评审内容每缺失一项扣2分，每项内容有下列任意瑕疵的扣0.2分（单项评审内容中有相同瑕疵不重复扣分），扣完为止；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技术方案6-培训方案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1、评审内容 包含4：①售后服务范围、内容及流程；②售后服务人员配置；③售后响应时间；④定期回访维护等。 2、评审标准 （1）评审内容每项满分为2分，共8分； （2）评审内容每缺失一项扣2分，每项内容有下列任意瑕疵的扣0.2分（单项评审内容中有相同瑕疵不重复扣分），扣完为止； 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技术方案7-售后服务</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提供2023年1月1日以来供应商类似业绩，每提供1份业绩得2分，最高得6分。 注：证明文件以合同为准，时间以合同签订时间为准；投标文件中附业绩证明文件复印件并加盖公章，未提供或不清晰导致无法识别的不予认可。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价格分采用低价优先法计算，即满足招标文件要求且价格最低的报价为评标基准价，其价格分为满分。其他投标人的价格分统一按照下列公式计算：报价得分=（评标基准价/报价）×价格权值×100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详见附件：一般资格审查证明材料</w:t>
      </w:r>
    </w:p>
    <w:p>
      <w:pPr>
        <w:pStyle w:val="null3"/>
        <w:ind w:firstLine="960"/>
      </w:pPr>
      <w:r>
        <w:rPr>
          <w:rFonts w:ascii="仿宋_GB2312" w:hAnsi="仿宋_GB2312" w:cs="仿宋_GB2312" w:eastAsia="仿宋_GB2312"/>
        </w:rPr>
        <w:t>详见附件：特殊资格审查资料</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详见附件：技术方案1-产品来源及产品技术参数</w:t>
      </w:r>
    </w:p>
    <w:p>
      <w:pPr>
        <w:pStyle w:val="null3"/>
        <w:ind w:firstLine="960"/>
      </w:pPr>
      <w:r>
        <w:rPr>
          <w:rFonts w:ascii="仿宋_GB2312" w:hAnsi="仿宋_GB2312" w:cs="仿宋_GB2312" w:eastAsia="仿宋_GB2312"/>
        </w:rPr>
        <w:t>详见附件：技术方案2-产品选型</w:t>
      </w:r>
    </w:p>
    <w:p>
      <w:pPr>
        <w:pStyle w:val="null3"/>
        <w:ind w:firstLine="960"/>
      </w:pPr>
      <w:r>
        <w:rPr>
          <w:rFonts w:ascii="仿宋_GB2312" w:hAnsi="仿宋_GB2312" w:cs="仿宋_GB2312" w:eastAsia="仿宋_GB2312"/>
        </w:rPr>
        <w:t>详见附件：技术方案3-供货实施方案</w:t>
      </w:r>
    </w:p>
    <w:p>
      <w:pPr>
        <w:pStyle w:val="null3"/>
        <w:ind w:firstLine="960"/>
      </w:pPr>
      <w:r>
        <w:rPr>
          <w:rFonts w:ascii="仿宋_GB2312" w:hAnsi="仿宋_GB2312" w:cs="仿宋_GB2312" w:eastAsia="仿宋_GB2312"/>
        </w:rPr>
        <w:t>详见附件：技术方案4-安装调试</w:t>
      </w:r>
    </w:p>
    <w:p>
      <w:pPr>
        <w:pStyle w:val="null3"/>
        <w:ind w:firstLine="960"/>
      </w:pPr>
      <w:r>
        <w:rPr>
          <w:rFonts w:ascii="仿宋_GB2312" w:hAnsi="仿宋_GB2312" w:cs="仿宋_GB2312" w:eastAsia="仿宋_GB2312"/>
        </w:rPr>
        <w:t>详见附件：技术方案5-质量保障</w:t>
      </w:r>
    </w:p>
    <w:p>
      <w:pPr>
        <w:pStyle w:val="null3"/>
        <w:ind w:firstLine="960"/>
      </w:pPr>
      <w:r>
        <w:rPr>
          <w:rFonts w:ascii="仿宋_GB2312" w:hAnsi="仿宋_GB2312" w:cs="仿宋_GB2312" w:eastAsia="仿宋_GB2312"/>
        </w:rPr>
        <w:t>详见附件：技术方案6-培训方案</w:t>
      </w:r>
    </w:p>
    <w:p>
      <w:pPr>
        <w:pStyle w:val="null3"/>
        <w:ind w:firstLine="960"/>
      </w:pPr>
      <w:r>
        <w:rPr>
          <w:rFonts w:ascii="仿宋_GB2312" w:hAnsi="仿宋_GB2312" w:cs="仿宋_GB2312" w:eastAsia="仿宋_GB2312"/>
        </w:rPr>
        <w:t>详见附件：技术方案7-售后服务</w:t>
      </w:r>
    </w:p>
    <w:p>
      <w:pPr>
        <w:pStyle w:val="null3"/>
        <w:ind w:firstLine="960"/>
      </w:pPr>
      <w:r>
        <w:rPr>
          <w:rFonts w:ascii="仿宋_GB2312" w:hAnsi="仿宋_GB2312" w:cs="仿宋_GB2312" w:eastAsia="仿宋_GB2312"/>
        </w:rPr>
        <w:t>详见附件：类似业绩一览表</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