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版本号：SCZE2026--CS-0488-00120260307001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澄城县国有企业改革整合及市场化运营实施采购项目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SCZE2026--CS-0488-001</w:t>
      </w:r>
      <w:r>
        <w:br/>
      </w:r>
      <w:r>
        <w:br/>
      </w:r>
      <w:r>
        <w:br/>
      </w:r>
    </w:p>
    <w:p>
      <w:pPr>
        <w:pStyle w:val="null3"/>
        <w:jc w:val="center"/>
        <w:outlineLvl w:val="2"/>
      </w:pPr>
      <w:r>
        <w:rPr>
          <w:rFonts w:ascii="仿宋_GB2312" w:hAnsi="仿宋_GB2312" w:cs="仿宋_GB2312" w:eastAsia="仿宋_GB2312"/>
          <w:sz w:val="28"/>
          <w:b/>
        </w:rPr>
        <w:t>澄城县国有资产中心</w:t>
      </w:r>
    </w:p>
    <w:p>
      <w:pPr>
        <w:pStyle w:val="null3"/>
        <w:jc w:val="center"/>
        <w:outlineLvl w:val="2"/>
      </w:pPr>
      <w:r>
        <w:rPr>
          <w:rFonts w:ascii="仿宋_GB2312" w:hAnsi="仿宋_GB2312" w:cs="仿宋_GB2312" w:eastAsia="仿宋_GB2312"/>
          <w:sz w:val="28"/>
          <w:b/>
        </w:rPr>
        <w:t>陕西省采购招标有限责任公司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2026年03月07日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陕西省采购招标有限责任公司</w:t>
      </w:r>
      <w:r>
        <w:rPr>
          <w:rFonts w:ascii="仿宋_GB2312" w:hAnsi="仿宋_GB2312" w:cs="仿宋_GB2312" w:eastAsia="仿宋_GB2312"/>
        </w:rPr>
        <w:t>（以下简称“代理机构”）受</w:t>
      </w:r>
      <w:r>
        <w:rPr>
          <w:rFonts w:ascii="仿宋_GB2312" w:hAnsi="仿宋_GB2312" w:cs="仿宋_GB2312" w:eastAsia="仿宋_GB2312"/>
        </w:rPr>
        <w:t>澄城县国有资产中心</w:t>
      </w:r>
      <w:r>
        <w:rPr>
          <w:rFonts w:ascii="仿宋_GB2312" w:hAnsi="仿宋_GB2312" w:cs="仿宋_GB2312" w:eastAsia="仿宋_GB2312"/>
        </w:rPr>
        <w:t>委托，拟对</w:t>
      </w:r>
      <w:r>
        <w:rPr>
          <w:rFonts w:ascii="仿宋_GB2312" w:hAnsi="仿宋_GB2312" w:cs="仿宋_GB2312" w:eastAsia="仿宋_GB2312"/>
        </w:rPr>
        <w:t>澄城县国有企业改革整合及市场化运营实施采购项目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SCZE2026--CS-0488-001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澄城县国有企业改革整合及市场化运营实施采购项目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澄城县全县域国有资产，承载盘活存量资产、赋能县域产业、补齐民生短板、防范化解地方债务风险四大职能，业务覆盖煤炭能源、新能源、现代农业、县域工业园区、文化旅游、县域基础配套设施等领域，是推动澄城经济高质量发展的核心主体。当前，受体制机制不活、资源整合不足、市场化运营薄弱、债务结构待优化等问题制约，亟需通过系统性改革整合与市场化转型激活动能。为深化县域国企改革、优化国有资本布局，特制定国有企业改革整合及市场化运营实施方案，推动国有平台公司提质增效、规范运营、保值增值。</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采购包1（澄城县国有企业改革整合及市场化运营实施）：属于专门面向中小企业采购。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信用查询：供应商未被列入“信用中国”网站(www.creditchina.gov.cn)“失信被执行人或重大税收违法失信主体”记录名单;不处于中国政府采购网(www.ccgp.gov.cn)“政府采购严重违法失信行为信息记录”中。以代理机构于开启响应文件当天进行资格审查时在“信用中国”网站(www,creditchina.gov.cn)及中国政府采购网(www.ccgp.gov.cn)查询结果为准)</w:t>
      </w:r>
    </w:p>
    <w:p>
      <w:pPr>
        <w:pStyle w:val="null3"/>
      </w:pPr>
      <w:r>
        <w:rPr>
          <w:rFonts w:ascii="仿宋_GB2312" w:hAnsi="仿宋_GB2312" w:cs="仿宋_GB2312" w:eastAsia="仿宋_GB2312"/>
        </w:rPr>
        <w:t>2、授权委托书或法人身份证明：(1)法定代表人或单位负责人参加磋商的，应提供法定代表人或单位负责人身份证明:(2)授权代表参加磋商的，应提供法定代表人或单位负责人身份证明、授权委托书及授权代表在本单位缴纳养老保险证明。供应商需在项目电子化交易系统中按要求填写资格证明文件，并进行电子签章</w:t>
      </w:r>
    </w:p>
    <w:p>
      <w:pPr>
        <w:pStyle w:val="null3"/>
      </w:pPr>
      <w:r>
        <w:rPr>
          <w:rFonts w:ascii="仿宋_GB2312" w:hAnsi="仿宋_GB2312" w:cs="仿宋_GB2312" w:eastAsia="仿宋_GB2312"/>
        </w:rPr>
        <w:t>3、其他情形：单位负责人为同一人或者存在直接控股、管理关系的不同供应商，不得参加同一合同项下的政府采购活动。为本项目提供整体设计、规范编制或者项目管理、监理、检测等服务的供应商，不得再参加该采购项目的其他采购活动。</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澄城县国有资产中心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澄城县古徵街五路</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715299</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郑宁宁</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0913-6868942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陕西省采购招标有限责任公司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西安市雁塔区唐延南路都市之门C座9层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马超、刘舰</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029-88490543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澄城县政府采购管理股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王晓锋</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0913-6868908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采购包1：951,600.00元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采购包1保证金金额：18,000.00元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开户名称：陕西省采购招标有限责任公司</w:t>
            </w:r>
          </w:p>
          <w:p>
            <w:pPr>
              <w:pStyle w:val="null3"/>
            </w:pPr>
            <w:r>
              <w:rPr>
                <w:rFonts w:ascii="仿宋_GB2312" w:hAnsi="仿宋_GB2312" w:cs="仿宋_GB2312" w:eastAsia="仿宋_GB2312"/>
              </w:rPr>
              <w:t>开户银行：中国银行西安南郊支行</w:t>
            </w:r>
          </w:p>
          <w:p>
            <w:pPr>
              <w:pStyle w:val="null3"/>
            </w:pPr>
            <w:r>
              <w:rPr>
                <w:rFonts w:ascii="仿宋_GB2312" w:hAnsi="仿宋_GB2312" w:cs="仿宋_GB2312" w:eastAsia="仿宋_GB2312"/>
              </w:rPr>
              <w:t>银行账号：102862459379</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60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代理服务费收费标准：参照原国家计委计价格〔2002〕1980号文和国家发改委发改办价格〔2003〕857号文的计算方法（按标段）按标准收取。不足8000.00元按8000.00元计取。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澄城县国有资产中心</w:t>
      </w:r>
      <w:r>
        <w:rPr>
          <w:rFonts w:ascii="仿宋_GB2312" w:hAnsi="仿宋_GB2312" w:cs="仿宋_GB2312" w:eastAsia="仿宋_GB2312"/>
        </w:rPr>
        <w:t>和</w:t>
      </w:r>
      <w:r>
        <w:rPr>
          <w:rFonts w:ascii="仿宋_GB2312" w:hAnsi="仿宋_GB2312" w:cs="仿宋_GB2312" w:eastAsia="仿宋_GB2312"/>
        </w:rPr>
        <w:t>陕西省采购招标有限责任公司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澄城县国有资产中心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陕西省采购招标有限责任公司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澄城县国有资产中心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陕西省采购招标有限责任公司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60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本次国有企业改革整合及市场化运营实施及全过程落地指导并取得相关管理部门的审核审批。</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联系人：综合办公室</w:t>
      </w:r>
    </w:p>
    <w:p>
      <w:pPr>
        <w:pStyle w:val="null3"/>
      </w:pPr>
      <w:r>
        <w:rPr>
          <w:rFonts w:ascii="仿宋_GB2312" w:hAnsi="仿宋_GB2312" w:cs="仿宋_GB2312" w:eastAsia="仿宋_GB2312"/>
        </w:rPr>
        <w:t>联系电话：029-85235014</w:t>
      </w:r>
    </w:p>
    <w:p>
      <w:pPr>
        <w:pStyle w:val="null3"/>
      </w:pPr>
      <w:r>
        <w:rPr>
          <w:rFonts w:ascii="仿宋_GB2312" w:hAnsi="仿宋_GB2312" w:cs="仿宋_GB2312" w:eastAsia="仿宋_GB2312"/>
        </w:rPr>
        <w:t>地址：西安市雁塔区唐延南路都市之门C座9层综合办公室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澄城县全县域国有资产，承载盘活存量资产、赋能县域产业、补齐民生短板、防范化解地方债务风险四大职能，业务覆盖煤炭能源、新能源、现代农业、县域工业园区、文化旅游、县域基础配套设施等领域，是推动澄城经济高质量发展的核心主体。当前，受体制机制不活、资源整合不足、市场化运营薄弱、债务结构待优化等问题制约，亟需通过系统性改革整合与市场化转型激活动能。为深化县域国企改革、优化国有资本布局，特制定国有企业改革整合及市场化运营实施方案，推动国有平台公司提质增效、规范运营、保值增值。</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951,600.00</w:t>
      </w:r>
    </w:p>
    <w:p>
      <w:pPr>
        <w:pStyle w:val="null3"/>
      </w:pPr>
      <w:r>
        <w:rPr>
          <w:rFonts w:ascii="仿宋_GB2312" w:hAnsi="仿宋_GB2312" w:cs="仿宋_GB2312" w:eastAsia="仿宋_GB2312"/>
        </w:rPr>
        <w:t>采购包最高限价（元）: 951,600.00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国有企业改革整合及市场化运营实施</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951,600.00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标的名称：国有企业改革整合及市场化运营实施</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rPr>
              <w:t>一、项目情况简介</w:t>
            </w:r>
          </w:p>
          <w:p>
            <w:pPr>
              <w:pStyle w:val="null3"/>
            </w:pPr>
            <w:r>
              <w:rPr>
                <w:rFonts w:ascii="仿宋_GB2312" w:hAnsi="仿宋_GB2312" w:cs="仿宋_GB2312" w:eastAsia="仿宋_GB2312"/>
              </w:rPr>
              <w:t>澄城县全县域国有资产，承载盘活存量资产、赋能县域产业、补齐民生短板、防范化解地方债务风险四大职能，业务覆盖煤炭能源、新能源、现代农业、县域工业园区、文化旅游、县域基础配套设施等领域，是推动澄城经济高质量发展的核心主体。当前，受体制机制不活、资源整合不足、市场化运营薄弱、债务结构待优化等问题制约，亟需通过系统性改革整合与市场化转型激活动能。为深化县域国企改革、优化国有资本布局，特制定国有企业改革整合及市场化运营实施方案，推动国有平台公司提质增效、规范运营、保值增值。</w:t>
            </w:r>
          </w:p>
          <w:p>
            <w:pPr>
              <w:pStyle w:val="null3"/>
            </w:pPr>
            <w:r>
              <w:rPr>
                <w:rFonts w:ascii="仿宋_GB2312" w:hAnsi="仿宋_GB2312" w:cs="仿宋_GB2312" w:eastAsia="仿宋_GB2312"/>
              </w:rPr>
              <w:t>二、服务期限及工作实施进度计划</w:t>
            </w:r>
          </w:p>
          <w:p>
            <w:pPr>
              <w:pStyle w:val="null3"/>
            </w:pPr>
            <w:r>
              <w:rPr>
                <w:rFonts w:ascii="仿宋_GB2312" w:hAnsi="仿宋_GB2312" w:cs="仿宋_GB2312" w:eastAsia="仿宋_GB2312"/>
              </w:rPr>
              <w:t>总服务期限：3个月，分3阶段推进。</w:t>
            </w:r>
          </w:p>
          <w:p>
            <w:pPr>
              <w:pStyle w:val="null3"/>
            </w:pPr>
            <w:r>
              <w:rPr>
                <w:rFonts w:ascii="仿宋_GB2312" w:hAnsi="仿宋_GB2312" w:cs="仿宋_GB2312" w:eastAsia="仿宋_GB2312"/>
              </w:rPr>
              <w:t>第一阶段：实地调研访谈（第1个月）</w:t>
            </w:r>
          </w:p>
          <w:p>
            <w:pPr>
              <w:pStyle w:val="null3"/>
            </w:pPr>
            <w:r>
              <w:rPr>
                <w:rFonts w:ascii="仿宋_GB2312" w:hAnsi="仿宋_GB2312" w:cs="仿宋_GB2312" w:eastAsia="仿宋_GB2312"/>
              </w:rPr>
              <w:t>核心：对接县国资、财政等部门及各平台公司，收集国企资产、负债、经营、债务、不良资产台账；归集各级国企改革政策，梳理县域主导产业规划；完成资料归档补缺，形成《基础资料汇编》。走访所有平台公司摸清经营痛点；访谈管理层、骨干掌握转型堵点；对接上下游及主管部门明确需求；形成《调研分析报告》，梳理核心问题与改革突破口。</w:t>
            </w:r>
          </w:p>
          <w:p>
            <w:pPr>
              <w:pStyle w:val="null3"/>
            </w:pPr>
            <w:r>
              <w:rPr>
                <w:rFonts w:ascii="仿宋_GB2312" w:hAnsi="仿宋_GB2312" w:cs="仿宋_GB2312" w:eastAsia="仿宋_GB2312"/>
              </w:rPr>
              <w:t>第二阶段：核心成果编制（第2个月）</w:t>
            </w:r>
          </w:p>
          <w:p>
            <w:pPr>
              <w:pStyle w:val="null3"/>
            </w:pPr>
            <w:r>
              <w:rPr>
                <w:rFonts w:ascii="仿宋_GB2312" w:hAnsi="仿宋_GB2312" w:cs="仿宋_GB2312" w:eastAsia="仿宋_GB2312"/>
              </w:rPr>
              <w:t>核心：按“总纲+专项”编制全套方案，专业专家分工把关，技术总工统筹审核，确保逻辑连贯、数据精准，完成所有成果初稿。报送初稿并专项汇报；召开多轮座谈会听取政府、国企、行业协会意见；梳理诉求形成《意见汇总表》，明确修改优先级。</w:t>
            </w:r>
          </w:p>
          <w:p>
            <w:pPr>
              <w:pStyle w:val="null3"/>
            </w:pPr>
            <w:r>
              <w:rPr>
                <w:rFonts w:ascii="仿宋_GB2312" w:hAnsi="仿宋_GB2312" w:cs="仿宋_GB2312" w:eastAsia="仿宋_GB2312"/>
              </w:rPr>
              <w:t>第三阶段：成果打磨完善报送（第3个月）</w:t>
            </w:r>
          </w:p>
          <w:p>
            <w:pPr>
              <w:pStyle w:val="null3"/>
            </w:pPr>
            <w:r>
              <w:rPr>
                <w:rFonts w:ascii="仿宋_GB2312" w:hAnsi="仿宋_GB2312" w:cs="仿宋_GB2312" w:eastAsia="仿宋_GB2312"/>
              </w:rPr>
              <w:t>核心：逐条优化方案，严控化债风险、整合实操性、运营落地性；专家复核、总工统筹，形成“整合-化债-盘活-运营”闭环，产出修订稿。报送县政府审议，全程答疑；按审议意见最终优化；整理全流程资料形成总结报告，衔接后续落地。</w:t>
            </w:r>
          </w:p>
          <w:p>
            <w:pPr>
              <w:pStyle w:val="null3"/>
            </w:pPr>
            <w:r>
              <w:rPr>
                <w:rFonts w:ascii="仿宋_GB2312" w:hAnsi="仿宋_GB2312" w:cs="仿宋_GB2312" w:eastAsia="仿宋_GB2312"/>
              </w:rPr>
              <w:t>三、核心成果文件</w:t>
            </w:r>
          </w:p>
          <w:p>
            <w:pPr>
              <w:pStyle w:val="null3"/>
            </w:pPr>
            <w:r>
              <w:rPr>
                <w:rFonts w:ascii="仿宋_GB2312" w:hAnsi="仿宋_GB2312" w:cs="仿宋_GB2312" w:eastAsia="仿宋_GB2312"/>
              </w:rPr>
              <w:t>1、总纲类方案:澄城县国有企业整合方案（顶层总纲，统领所有专项工作）</w:t>
            </w:r>
          </w:p>
          <w:p>
            <w:pPr>
              <w:pStyle w:val="null3"/>
            </w:pPr>
            <w:r>
              <w:rPr>
                <w:rFonts w:ascii="仿宋_GB2312" w:hAnsi="仿宋_GB2312" w:cs="仿宋_GB2312" w:eastAsia="仿宋_GB2312"/>
              </w:rPr>
              <w:t>定方向、定架构、定体系。内含：整合总体目标、原则、范围；国企层级整合（集团化组建）、业务板块整合（煤/新能源/农/工分类归并）、组织架构整合；与并购重组、不良剥离、化债、运营的衔接机制；实施步骤与保障措施。</w:t>
            </w:r>
          </w:p>
          <w:p>
            <w:pPr>
              <w:pStyle w:val="null3"/>
            </w:pPr>
            <w:r>
              <w:rPr>
                <w:rFonts w:ascii="仿宋_GB2312" w:hAnsi="仿宋_GB2312" w:cs="仿宋_GB2312" w:eastAsia="仿宋_GB2312"/>
              </w:rPr>
              <w:t>2、专项类方案（4个，总纲落地抓手）</w:t>
            </w:r>
          </w:p>
          <w:p>
            <w:pPr>
              <w:pStyle w:val="null3"/>
            </w:pPr>
            <w:r>
              <w:rPr>
                <w:rFonts w:ascii="仿宋_GB2312" w:hAnsi="仿宋_GB2312" w:cs="仿宋_GB2312" w:eastAsia="仿宋_GB2312"/>
              </w:rPr>
              <w:t>澄城县国有平台公司化债方案</w:t>
            </w:r>
          </w:p>
          <w:p>
            <w:pPr>
              <w:pStyle w:val="null3"/>
            </w:pPr>
            <w:r>
              <w:rPr>
                <w:rFonts w:ascii="仿宋_GB2312" w:hAnsi="仿宋_GB2312" w:cs="仿宋_GB2312" w:eastAsia="仿宋_GB2312"/>
              </w:rPr>
              <w:t>澄城县国有资产并购重组方案（整合方案配套专项）</w:t>
            </w:r>
          </w:p>
          <w:p>
            <w:pPr>
              <w:pStyle w:val="null3"/>
            </w:pPr>
            <w:r>
              <w:rPr>
                <w:rFonts w:ascii="仿宋_GB2312" w:hAnsi="仿宋_GB2312" w:cs="仿宋_GB2312" w:eastAsia="仿宋_GB2312"/>
              </w:rPr>
              <w:t>澄城县国有企业不良资产剥离方案</w:t>
            </w:r>
          </w:p>
          <w:p>
            <w:pPr>
              <w:pStyle w:val="null3"/>
            </w:pPr>
            <w:r>
              <w:rPr>
                <w:rFonts w:ascii="仿宋_GB2312" w:hAnsi="仿宋_GB2312" w:cs="仿宋_GB2312" w:eastAsia="仿宋_GB2312"/>
              </w:rPr>
              <w:t>澄城县国有平台公司市场化运营方案</w:t>
            </w:r>
          </w:p>
          <w:p>
            <w:pPr>
              <w:pStyle w:val="null3"/>
            </w:pPr>
            <w:r>
              <w:rPr>
                <w:rFonts w:ascii="仿宋_GB2312" w:hAnsi="仿宋_GB2312" w:cs="仿宋_GB2312" w:eastAsia="仿宋_GB2312"/>
              </w:rPr>
              <w:t>3、配套支撑资料（4个）</w:t>
            </w:r>
          </w:p>
          <w:p>
            <w:pPr>
              <w:pStyle w:val="null3"/>
            </w:pPr>
            <w:r>
              <w:rPr>
                <w:rFonts w:ascii="仿宋_GB2312" w:hAnsi="仿宋_GB2312" w:cs="仿宋_GB2312" w:eastAsia="仿宋_GB2312"/>
              </w:rPr>
              <w:t>澄城县国有平台公司基础资料汇编</w:t>
            </w:r>
          </w:p>
          <w:p>
            <w:pPr>
              <w:pStyle w:val="null3"/>
            </w:pPr>
            <w:r>
              <w:rPr>
                <w:rFonts w:ascii="仿宋_GB2312" w:hAnsi="仿宋_GB2312" w:cs="仿宋_GB2312" w:eastAsia="仿宋_GB2312"/>
              </w:rPr>
              <w:t>澄城县国有平台公司调研分析报告</w:t>
            </w:r>
          </w:p>
          <w:p>
            <w:pPr>
              <w:pStyle w:val="null3"/>
            </w:pPr>
            <w:r>
              <w:rPr>
                <w:rFonts w:ascii="仿宋_GB2312" w:hAnsi="仿宋_GB2312" w:cs="仿宋_GB2312" w:eastAsia="仿宋_GB2312"/>
              </w:rPr>
              <w:t>成果文件意见汇总表</w:t>
            </w:r>
          </w:p>
          <w:p>
            <w:pPr>
              <w:pStyle w:val="null3"/>
            </w:pPr>
            <w:r>
              <w:rPr>
                <w:rFonts w:ascii="仿宋_GB2312" w:hAnsi="仿宋_GB2312" w:cs="仿宋_GB2312" w:eastAsia="仿宋_GB2312"/>
              </w:rPr>
              <w:t>项目工作总结报告</w:t>
            </w:r>
          </w:p>
          <w:p>
            <w:pPr>
              <w:pStyle w:val="null3"/>
            </w:pPr>
            <w:r>
              <w:rPr>
                <w:rFonts w:ascii="仿宋_GB2312" w:hAnsi="仿宋_GB2312" w:cs="仿宋_GB2312" w:eastAsia="仿宋_GB2312"/>
              </w:rPr>
              <w:t>整合方案（总纲）：定方向、定架构、定体系</w:t>
            </w:r>
          </w:p>
          <w:p>
            <w:pPr>
              <w:pStyle w:val="null3"/>
            </w:pPr>
            <w:r>
              <w:rPr>
                <w:rFonts w:ascii="仿宋_GB2312" w:hAnsi="仿宋_GB2312" w:cs="仿宋_GB2312" w:eastAsia="仿宋_GB2312"/>
              </w:rPr>
              <w:t>内含：整合总体目标、原则、范围；国企层级整合（集团化组建）、业务板块整合（煤/新能源/农/工分类归并）、组织架构整合；与并购重组、不良剥离、化债、运营的衔接机制；实施步骤与保障措施。</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磋商响应单位根据项目情况自行配置。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磋商响应单位根据项目情况自行配置。</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本次国有企业改革整合及市场化运营实施及全过程落地指导并取得相关管理部门的审核审批</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90日历天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澄城县</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本次国有企业改革整合及市场化运营实施及全过程落地指导并取得相关管理部门的审核审批。</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初稿完成后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交付成果后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（一）未经甲方许可，乙方不得将本合同项目与第三方合作，或将本合同标的全部或部分擅自转包给第三方。否则，甲方有权要求乙方终止与第三方的合同。 （二）在合同履行期间，因甲方原因造成合同终止或解除，乙方不退还甲方已付的款项。同时，乙方将已完成的阶段成果移交给甲方。 （三）因乙方原因，逾期提交成果报告，应由乙方应承担相应的法律责任。 争议解决 本合同在履行过程中发生的争议，由甲、乙双方协商解决；协商不成的，双方均有权向甲方住所地有管辖权的人民法院起诉。</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按格式要求填写《投标函》及《资格证明文件》并按要求进行签章。</w:t>
            </w:r>
          </w:p>
        </w:tc>
        <w:tc>
          <w:tcPr>
            <w:tcW w:type="dxa" w:w="1661"/>
          </w:tcPr>
          <w:p>
            <w:pPr>
              <w:pStyle w:val="null3"/>
            </w:pPr>
            <w:r>
              <w:rPr>
                <w:rFonts w:ascii="仿宋_GB2312" w:hAnsi="仿宋_GB2312" w:cs="仿宋_GB2312" w:eastAsia="仿宋_GB2312"/>
              </w:rPr>
              <w:t>响应文件封面 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供应商需在项目电子化交易系统中按要求填写《投标函》及《资格证明文件》完成承诺并进行电子签章。</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未被列入“信用中国”网站(www.creditchina.gov.cn)“失信被执行人或重大税收违法失信主体”记录名单;不处于中国政府采购网(www.ccgp.gov.cn)“政府采购严重违法失信行为信息记录”中。以代理机构于开启响应文件当天进行资格审查时在“信用中国”网站(www,creditchina.gov.cn)及中国政府采购网(www.ccgp.gov.cn)查询结果为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授权委托书或法人身份证明</w:t>
            </w:r>
          </w:p>
        </w:tc>
        <w:tc>
          <w:tcPr>
            <w:tcW w:type="dxa" w:w="3322"/>
          </w:tcPr>
          <w:p>
            <w:pPr>
              <w:pStyle w:val="null3"/>
            </w:pPr>
            <w:r>
              <w:rPr>
                <w:rFonts w:ascii="仿宋_GB2312" w:hAnsi="仿宋_GB2312" w:cs="仿宋_GB2312" w:eastAsia="仿宋_GB2312"/>
              </w:rPr>
              <w:t>(1)法定代表人或单位负责人参加磋商的，应提供法定代表人或单位负责人身份证明:(2)授权代表参加磋商的，应提供法定代表人或单位负责人身份证明、授权委托书及授权代表在本单位缴纳养老保险证明。供应商需在项目电子化交易系统中按要求填写资格证明文件，并进行电子签章</w:t>
            </w:r>
          </w:p>
        </w:tc>
        <w:tc>
          <w:tcPr>
            <w:tcW w:type="dxa" w:w="1661"/>
          </w:tcPr>
          <w:p>
            <w:pPr>
              <w:pStyle w:val="null3"/>
            </w:pPr>
            <w:r>
              <w:rPr>
                <w:rFonts w:ascii="仿宋_GB2312" w:hAnsi="仿宋_GB2312" w:cs="仿宋_GB2312" w:eastAsia="仿宋_GB2312"/>
              </w:rPr>
              <w:t>参加政府采购活动承诺书.docx 中小企业声明函 残疾人福利性单位声明函 保证金缴纳证明.docx 资格证明文件.docx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其他情形</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为本项目提供整体设计、规范编制或者项目管理、监理、检测等服务的供应商，不得再参加该采购项目的其他采购活动。</w:t>
            </w:r>
          </w:p>
        </w:tc>
        <w:tc>
          <w:tcPr>
            <w:tcW w:type="dxa" w:w="1661"/>
          </w:tcPr>
          <w:p>
            <w:pPr>
              <w:pStyle w:val="null3"/>
            </w:pPr>
            <w:r>
              <w:rPr>
                <w:rFonts w:ascii="仿宋_GB2312" w:hAnsi="仿宋_GB2312" w:cs="仿宋_GB2312" w:eastAsia="仿宋_GB2312"/>
              </w:rPr>
              <w:t>响应函 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1评审中出现下列情形之一的，评审小组应当启动异常低价响应审查程序： 1）响应报价低于全部通过符合性审查供应商响应报价平均值50%的，即响应报价&lt;全部通过符合性审查供应商响应报价平均值×50%； 2）响应报价低于通过符合性审查的次低报价供应商响应报价50%的，即响应报价&lt;通过符合性审查的次低报价供应商响应报价×50%； 3）响应报价低于采购项目最高限价45%的，即响应报价&lt;采购项目最高限价×45%； 4）评审小组基于专业判断，认为供应商报价过低，有可能影响产品质量或者不能诚信履约的其他情形。 相关法律法规对供应商报价有规定的，从其规定。 评审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按格式要求加盖了供应商公章和有法定代表人或其授权代表签字或加盖人名章。</w:t>
            </w:r>
          </w:p>
        </w:tc>
        <w:tc>
          <w:tcPr>
            <w:tcW w:type="dxa" w:w="1661"/>
          </w:tcPr>
          <w:p>
            <w:pPr>
              <w:pStyle w:val="null3"/>
            </w:pPr>
            <w:r>
              <w:rPr>
                <w:rFonts w:ascii="仿宋_GB2312" w:hAnsi="仿宋_GB2312" w:cs="仿宋_GB2312" w:eastAsia="仿宋_GB2312"/>
              </w:rPr>
              <w:t>最终报价表.docx 业绩.docx 服务实施方案.docx 中小企业声明函 报价表 资格证明文件.docx 响应文件封面 参加政府采购活动承诺书.docx 残疾人福利性单位声明函 标的清单 保证金缴纳证明.docx 商务技术偏离表.docx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供应商报价是固定价且未超过预算金额（磋商文件有最高限价的，报价未超过最高限价）</w:t>
            </w:r>
          </w:p>
        </w:tc>
        <w:tc>
          <w:tcPr>
            <w:tcW w:type="dxa" w:w="1661"/>
          </w:tcPr>
          <w:p>
            <w:pPr>
              <w:pStyle w:val="null3"/>
            </w:pPr>
            <w:r>
              <w:rPr>
                <w:rFonts w:ascii="仿宋_GB2312" w:hAnsi="仿宋_GB2312" w:cs="仿宋_GB2312" w:eastAsia="仿宋_GB2312"/>
              </w:rPr>
              <w:t>响应文件封面 参加政府采购活动承诺书.docx 中小企业声明函 残疾人福利性单位声明函 标的清单 报价表 保证金缴纳证明.docx 商务技术偏离表.docx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遵循公平竞争的原则，没有弄虚作假、恶意串通或妨碍其他供应商的竞争行为，损害采购人或者其他供应商的合法权益。</w:t>
            </w:r>
          </w:p>
        </w:tc>
        <w:tc>
          <w:tcPr>
            <w:tcW w:type="dxa" w:w="1661"/>
          </w:tcPr>
          <w:p>
            <w:pPr>
              <w:pStyle w:val="null3"/>
            </w:pPr>
            <w:r>
              <w:rPr>
                <w:rFonts w:ascii="仿宋_GB2312" w:hAnsi="仿宋_GB2312" w:cs="仿宋_GB2312" w:eastAsia="仿宋_GB2312"/>
              </w:rPr>
              <w:t>响应文件封面 参加政府采购活动承诺书.docx 中小企业声明函 残疾人福利性单位声明函 标的清单 报价表 保证金缴纳证明.docx 商务技术偏离表.docx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响应文件不含有采购人不能接受的附加条件。</w:t>
            </w:r>
          </w:p>
        </w:tc>
        <w:tc>
          <w:tcPr>
            <w:tcW w:type="dxa" w:w="1661"/>
          </w:tcPr>
          <w:p>
            <w:pPr>
              <w:pStyle w:val="null3"/>
            </w:pPr>
            <w:r>
              <w:rPr>
                <w:rFonts w:ascii="仿宋_GB2312" w:hAnsi="仿宋_GB2312" w:cs="仿宋_GB2312" w:eastAsia="仿宋_GB2312"/>
              </w:rPr>
              <w:t>响应文件封面 参加政府采购活动承诺书.docx 中小企业声明函 残疾人福利性单位声明函 标的清单 报价表 保证金缴纳证明.docx 商务技术偏离表.docx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总体服务方案</w:t>
            </w:r>
          </w:p>
        </w:tc>
        <w:tc>
          <w:tcPr>
            <w:tcW w:type="dxa" w:w="2492"/>
          </w:tcPr>
          <w:p>
            <w:pPr>
              <w:pStyle w:val="null3"/>
            </w:pPr>
            <w:r>
              <w:rPr>
                <w:rFonts w:ascii="仿宋_GB2312" w:hAnsi="仿宋_GB2312" w:cs="仿宋_GB2312" w:eastAsia="仿宋_GB2312"/>
              </w:rPr>
              <w:t>针对本项目的特点提供总体的项目实施方案（包括但不限于总体的服务设想、服务定位、服务目标、服务计划等），根据方案的科学性、合理性、针对性综合评审。 方案科学合理、切实可行，不缺项且有针对性解释说明得15分； 2.方案比较合理、有一定的可行性，不缺项且有针对性解释说明得13分； 3.方案比较合理、有一定的可行性，有针对性解释说明但缺项1项得11分； 4.方案基本合理、具有可操作性，存在不确定因素，有针对性解释说明但缺项1项得9分； 5.方案基本合理、可操作性不强，存在不确定因素，有针对性解释说明但缺项2项得7分； 6.方案不够合理、可操作性不强，解释说明缺项2项得5分； 7.方案不够合理、可操作性不强，存在缺项3项得3分； 8.方案存在漏项较多，可操作性差，得2分； 未提供或完全脱离项目实际的不得分。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业绩.docx</w:t>
            </w:r>
          </w:p>
          <w:p>
            <w:pPr>
              <w:pStyle w:val="null3"/>
            </w:pPr>
            <w:r>
              <w:rPr>
                <w:rFonts w:ascii="仿宋_GB2312" w:hAnsi="仿宋_GB2312" w:cs="仿宋_GB2312" w:eastAsia="仿宋_GB2312"/>
              </w:rPr>
              <w:t>服务实施方案.docx</w:t>
            </w:r>
          </w:p>
        </w:tc>
      </w:tr>
      <w:tr>
        <w:tc>
          <w:tcPr>
            <w:tcW w:type="dxa" w:w="831"/>
            <w:vMerge/>
          </w:tcPr>
          <w:p/>
        </w:tc>
        <w:tc>
          <w:tcPr>
            <w:tcW w:type="dxa" w:w="1661"/>
          </w:tcPr>
          <w:p>
            <w:pPr>
              <w:pStyle w:val="null3"/>
            </w:pPr>
            <w:r>
              <w:rPr>
                <w:rFonts w:ascii="仿宋_GB2312" w:hAnsi="仿宋_GB2312" w:cs="仿宋_GB2312" w:eastAsia="仿宋_GB2312"/>
              </w:rPr>
              <w:t>重点与难点分析</w:t>
            </w:r>
          </w:p>
        </w:tc>
        <w:tc>
          <w:tcPr>
            <w:tcW w:type="dxa" w:w="2492"/>
          </w:tcPr>
          <w:p>
            <w:pPr>
              <w:pStyle w:val="null3"/>
            </w:pPr>
            <w:r>
              <w:rPr>
                <w:rFonts w:ascii="仿宋_GB2312" w:hAnsi="仿宋_GB2312" w:cs="仿宋_GB2312" w:eastAsia="仿宋_GB2312"/>
              </w:rPr>
              <w:t>1.重点和难点分析全面，合理，并且提出切实可行的解决办法的，得10分； 2.重点和难点分析全面，合理，对于重难点的解决办法较为合理可行的，得8分； 3.重点和难点分析全面，合理，对于重难点的解决办法可行性一般的，得6分； 4.重点和难点分析基本全面，基本合理，对于重难点的解决办法基本可行的，得4分； 5.重点和难点分析不全面，不合理，对于重难点的解决办法不可行的，得2分； 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服务实施方案.docx</w:t>
            </w:r>
          </w:p>
        </w:tc>
      </w:tr>
      <w:tr>
        <w:tc>
          <w:tcPr>
            <w:tcW w:type="dxa" w:w="831"/>
            <w:vMerge/>
          </w:tcPr>
          <w:p/>
        </w:tc>
        <w:tc>
          <w:tcPr>
            <w:tcW w:type="dxa" w:w="1661"/>
          </w:tcPr>
          <w:p>
            <w:pPr>
              <w:pStyle w:val="null3"/>
            </w:pPr>
            <w:r>
              <w:rPr>
                <w:rFonts w:ascii="仿宋_GB2312" w:hAnsi="仿宋_GB2312" w:cs="仿宋_GB2312" w:eastAsia="仿宋_GB2312"/>
              </w:rPr>
              <w:t>人员配备方案</w:t>
            </w:r>
          </w:p>
        </w:tc>
        <w:tc>
          <w:tcPr>
            <w:tcW w:type="dxa" w:w="2492"/>
          </w:tcPr>
          <w:p>
            <w:pPr>
              <w:pStyle w:val="null3"/>
            </w:pPr>
            <w:r>
              <w:rPr>
                <w:rFonts w:ascii="仿宋_GB2312" w:hAnsi="仿宋_GB2312" w:cs="仿宋_GB2312" w:eastAsia="仿宋_GB2312"/>
              </w:rPr>
              <w:t>专业人员配备合理，拟投入本项目人员数量充足，专业人员配置齐全、针对性强、人员分工、岗位职责明确，能够满足采购人项目需求的，证明材料提供齐全、详细的得10分； 专业人员配备数量充足，专业人员配备能够基本满足项目实施需要，分工、岗位职责安排有一定的合理性，基本能满足项目需求的，证明材料提供齐全、详细的得8分； 专业人员配备数量基本充足、专业人员配备能够基本满足项目实施需要，分工、岗位职责安排基本合理的，证明材料提供不齐全的，得6分； 专业人员配备数量较充足、专业人员配备能够基本满足项目实施需要，分工、岗位职责安排不明确、不合理的，且证明材料提供不齐全的得4分； 专业人员配备数量较少，专业人员配备不齐全的，未提供相关证明材料的得2分； 相关人员配置在满足采购人要求的基础上严重不足的不得分。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服务实施方案.docx</w:t>
            </w:r>
          </w:p>
        </w:tc>
      </w:tr>
      <w:tr>
        <w:tc>
          <w:tcPr>
            <w:tcW w:type="dxa" w:w="831"/>
            <w:vMerge/>
          </w:tcPr>
          <w:p/>
        </w:tc>
        <w:tc>
          <w:tcPr>
            <w:tcW w:type="dxa" w:w="1661"/>
          </w:tcPr>
          <w:p>
            <w:pPr>
              <w:pStyle w:val="null3"/>
            </w:pPr>
            <w:r>
              <w:rPr>
                <w:rFonts w:ascii="仿宋_GB2312" w:hAnsi="仿宋_GB2312" w:cs="仿宋_GB2312" w:eastAsia="仿宋_GB2312"/>
              </w:rPr>
              <w:t>拟派项目负责人</w:t>
            </w:r>
          </w:p>
        </w:tc>
        <w:tc>
          <w:tcPr>
            <w:tcW w:type="dxa" w:w="2492"/>
          </w:tcPr>
          <w:p>
            <w:pPr>
              <w:pStyle w:val="null3"/>
            </w:pPr>
            <w:r>
              <w:rPr>
                <w:rFonts w:ascii="仿宋_GB2312" w:hAnsi="仿宋_GB2312" w:cs="仿宋_GB2312" w:eastAsia="仿宋_GB2312"/>
              </w:rPr>
              <w:t>拟派项目负责人，具有相关专业高级或以上职称的得2分，中级职称得1分；其他不得分。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服务实施方案.docx</w:t>
            </w:r>
          </w:p>
        </w:tc>
      </w:tr>
      <w:tr>
        <w:tc>
          <w:tcPr>
            <w:tcW w:type="dxa" w:w="831"/>
            <w:vMerge/>
          </w:tcPr>
          <w:p/>
        </w:tc>
        <w:tc>
          <w:tcPr>
            <w:tcW w:type="dxa" w:w="1661"/>
          </w:tcPr>
          <w:p>
            <w:pPr>
              <w:pStyle w:val="null3"/>
            </w:pPr>
            <w:r>
              <w:rPr>
                <w:rFonts w:ascii="仿宋_GB2312" w:hAnsi="仿宋_GB2312" w:cs="仿宋_GB2312" w:eastAsia="仿宋_GB2312"/>
              </w:rPr>
              <w:t>项目进度安排</w:t>
            </w:r>
          </w:p>
        </w:tc>
        <w:tc>
          <w:tcPr>
            <w:tcW w:type="dxa" w:w="2492"/>
          </w:tcPr>
          <w:p>
            <w:pPr>
              <w:pStyle w:val="null3"/>
            </w:pPr>
            <w:r>
              <w:rPr>
                <w:rFonts w:ascii="仿宋_GB2312" w:hAnsi="仿宋_GB2312" w:cs="仿宋_GB2312" w:eastAsia="仿宋_GB2312"/>
              </w:rPr>
              <w:t>对投标人针对本项目的进度安排措施进行评审。 具有科学合理明确的工作进度计划，工作进度计划与实际需求的契合度高，时间节点把控清晰明确，对工作推进指导性强，得10分； 具有科学合理工作进度计划，工作进度计划与实际需求的契合度相对较高，时间节点把控准确，对工作推进指导性强，得8分； 工作进度计划基本符合实际需求，相关时间节点的把控要求基本准确，对工作推进相对有指导性，得6分； 工作进度计划不符合实际需求，无法保证工作能够正常推进，得4分； 工作进度计划措施与项目实际需求不符，内容粗略得2分； 未提供或完全脱离项目实际的不得分。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服务实施方案.docx</w:t>
            </w:r>
          </w:p>
        </w:tc>
      </w:tr>
      <w:tr>
        <w:tc>
          <w:tcPr>
            <w:tcW w:type="dxa" w:w="831"/>
            <w:vMerge/>
          </w:tcPr>
          <w:p/>
        </w:tc>
        <w:tc>
          <w:tcPr>
            <w:tcW w:type="dxa" w:w="1661"/>
          </w:tcPr>
          <w:p>
            <w:pPr>
              <w:pStyle w:val="null3"/>
            </w:pPr>
            <w:r>
              <w:rPr>
                <w:rFonts w:ascii="仿宋_GB2312" w:hAnsi="仿宋_GB2312" w:cs="仿宋_GB2312" w:eastAsia="仿宋_GB2312"/>
              </w:rPr>
              <w:t>服务质量保障措施</w:t>
            </w:r>
          </w:p>
        </w:tc>
        <w:tc>
          <w:tcPr>
            <w:tcW w:type="dxa" w:w="2492"/>
          </w:tcPr>
          <w:p>
            <w:pPr>
              <w:pStyle w:val="null3"/>
            </w:pPr>
            <w:r>
              <w:rPr>
                <w:rFonts w:ascii="仿宋_GB2312" w:hAnsi="仿宋_GB2312" w:cs="仿宋_GB2312" w:eastAsia="仿宋_GB2312"/>
              </w:rPr>
              <w:t>根据投标供应商提供的针对本项目的质量保证措施进行评审：（方案中包括但不限于：①质量管理方案及制度、②质量保证措施及承诺、③质量校核流程等）等内容，每提供一项得1分， 以此为基础，以上方案内容不完整，编制不合理，针对性差，不加分。 以上方案内容基本完整，编制基本合理、针对性一般每项加2分； 以上方案内容较为完整，编制较为合理、针对性较强每项加3分； 以上方案内容完整详实，编制合理、针对性强的每项加4分，加至标准分为止； 未提供不得分。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服务实施方案.docx</w:t>
            </w:r>
          </w:p>
        </w:tc>
      </w:tr>
      <w:tr>
        <w:tc>
          <w:tcPr>
            <w:tcW w:type="dxa" w:w="831"/>
            <w:vMerge/>
          </w:tcPr>
          <w:p/>
        </w:tc>
        <w:tc>
          <w:tcPr>
            <w:tcW w:type="dxa" w:w="1661"/>
          </w:tcPr>
          <w:p>
            <w:pPr>
              <w:pStyle w:val="null3"/>
            </w:pPr>
            <w:r>
              <w:rPr>
                <w:rFonts w:ascii="仿宋_GB2312" w:hAnsi="仿宋_GB2312" w:cs="仿宋_GB2312" w:eastAsia="仿宋_GB2312"/>
              </w:rPr>
              <w:t>档案管理方案</w:t>
            </w:r>
          </w:p>
        </w:tc>
        <w:tc>
          <w:tcPr>
            <w:tcW w:type="dxa" w:w="2492"/>
          </w:tcPr>
          <w:p>
            <w:pPr>
              <w:pStyle w:val="null3"/>
            </w:pPr>
            <w:r>
              <w:rPr>
                <w:rFonts w:ascii="仿宋_GB2312" w:hAnsi="仿宋_GB2312" w:cs="仿宋_GB2312" w:eastAsia="仿宋_GB2312"/>
              </w:rPr>
              <w:t>根据本项目采购需求并结合项目实际，制定对于数据、图纸、报告等内容的管理方案， 方案得当、合理、规范，可行性强得8分； 方案较合理，具有可行性得6分； 方案基本合理，可行性一般得4分； 方案简单，基本可行得2分； 方案缺漏，不利于项目实施得1分； 未提供或完全脱离项目实际的不得分。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服务实施方案.docx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承诺全面且从多个角度明确地做出承诺，合理可行且完全能满足采购人对项目需求的，得6分； 承诺基本全面且承诺内容基本可行的，得4分； 承诺基本全面但实施有难度的，得2分； 承诺不全面且实施难度大的，得1分； 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服务实施方案.docx</w:t>
            </w:r>
          </w:p>
        </w:tc>
      </w:tr>
      <w:tr>
        <w:tc>
          <w:tcPr>
            <w:tcW w:type="dxa" w:w="831"/>
            <w:vMerge/>
          </w:tcPr>
          <w:p/>
        </w:tc>
        <w:tc>
          <w:tcPr>
            <w:tcW w:type="dxa" w:w="1661"/>
          </w:tcPr>
          <w:p>
            <w:pPr>
              <w:pStyle w:val="null3"/>
            </w:pPr>
            <w:r>
              <w:rPr>
                <w:rFonts w:ascii="仿宋_GB2312" w:hAnsi="仿宋_GB2312" w:cs="仿宋_GB2312" w:eastAsia="仿宋_GB2312"/>
              </w:rPr>
              <w:t>保密方案</w:t>
            </w:r>
          </w:p>
        </w:tc>
        <w:tc>
          <w:tcPr>
            <w:tcW w:type="dxa" w:w="2492"/>
          </w:tcPr>
          <w:p>
            <w:pPr>
              <w:pStyle w:val="null3"/>
            </w:pPr>
            <w:r>
              <w:rPr>
                <w:rFonts w:ascii="仿宋_GB2312" w:hAnsi="仿宋_GB2312" w:cs="仿宋_GB2312" w:eastAsia="仿宋_GB2312"/>
              </w:rPr>
              <w:t>根据投标供应商的保密方案（包括但不限于：①保密承诺；②保密岗位责任）等内容，每提供一项得1分，以此为基础， 以上方案内容不完整，编制不合理，针对性差，不加分。 以上方案内容基本完整，编制基本合理、针对性一般每项加1分； 以上方案内容完整详实，编制合理、针对性强的每项加 2 分，加至标准分为止； 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服务实施方案.docx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建议全面且从多个角度考虑，合理可行且对项目实施具有较强的指导作用的得6分； 建议基本全面且建议内容基本可行的，得4分； 建议基本全面但实施有难度的，得2分； 建议不全面且实施难度大的，得1分； 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服务实施方案.docx</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供应商提供2023年2月1日至响应文件递交截止时间内的类似业绩，每提供一项单个合同项目得1分，累计最多得2分。 注 ：以响应文件中所附的加盖公章的业绩合同复印件为准，时间以合同签订时间为准；未提供业绩证明资料、业绩证明资料未显示时间、业绩证明资料显示时间不符合要求者不得分。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采用低价优先法计算，即满足磋商文件要求且最后报价最低的供应商的价格为磋商基准价，其价格分为满分。磋商报价得分＝（磋商基准价/最后磋商报价）×分值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报价表</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详见附件：保证金缴纳证明.docx</w:t>
      </w:r>
    </w:p>
    <w:p>
      <w:pPr>
        <w:pStyle w:val="null3"/>
        <w:ind w:firstLine="960"/>
      </w:pPr>
      <w:r>
        <w:rPr>
          <w:rFonts w:ascii="仿宋_GB2312" w:hAnsi="仿宋_GB2312" w:cs="仿宋_GB2312" w:eastAsia="仿宋_GB2312"/>
        </w:rPr>
        <w:t>详见附件：参加政府采购活动承诺书.docx</w:t>
      </w:r>
    </w:p>
    <w:p>
      <w:pPr>
        <w:pStyle w:val="null3"/>
        <w:ind w:firstLine="960"/>
      </w:pPr>
      <w:r>
        <w:rPr>
          <w:rFonts w:ascii="仿宋_GB2312" w:hAnsi="仿宋_GB2312" w:cs="仿宋_GB2312" w:eastAsia="仿宋_GB2312"/>
        </w:rPr>
        <w:t>详见附件：商务技术偏离表.docx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详见附件：最终报价表.docx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详见附件：服务实施方案.docx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详见附件：咨询服务合同.docx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