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版本号：CZCZRZY(2026)FABZ-220260414001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2025年、2026年土地储备专项债券项目实施方案编制项目(二次)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CZCZRZY(2026)FABZ-2</w:t>
      </w:r>
      <w:r>
        <w:br/>
      </w:r>
      <w:r>
        <w:br/>
      </w:r>
      <w:r>
        <w:br/>
      </w:r>
    </w:p>
    <w:p>
      <w:pPr>
        <w:pStyle w:val="null3"/>
        <w:jc w:val="center"/>
        <w:outlineLvl w:val="2"/>
      </w:pPr>
      <w:r>
        <w:rPr>
          <w:rFonts w:ascii="仿宋_GB2312" w:hAnsi="仿宋_GB2312" w:cs="仿宋_GB2312" w:eastAsia="仿宋_GB2312"/>
          <w:sz w:val="28"/>
          <w:b/>
        </w:rPr>
        <w:t>澄城县自然资源局</w:t>
      </w:r>
    </w:p>
    <w:p>
      <w:pPr>
        <w:pStyle w:val="null3"/>
        <w:jc w:val="center"/>
        <w:outlineLvl w:val="2"/>
      </w:pPr>
      <w:r>
        <w:rPr>
          <w:rFonts w:ascii="仿宋_GB2312" w:hAnsi="仿宋_GB2312" w:cs="仿宋_GB2312" w:eastAsia="仿宋_GB2312"/>
          <w:sz w:val="28"/>
          <w:b/>
        </w:rPr>
        <w:t>澄城县政府采购中心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澄城县政府采购中心</w:t>
      </w:r>
      <w:r>
        <w:rPr>
          <w:rFonts w:ascii="仿宋_GB2312" w:hAnsi="仿宋_GB2312" w:cs="仿宋_GB2312" w:eastAsia="仿宋_GB2312"/>
        </w:rPr>
        <w:t>（以下简称“代理机构”）受</w:t>
      </w:r>
      <w:r>
        <w:rPr>
          <w:rFonts w:ascii="仿宋_GB2312" w:hAnsi="仿宋_GB2312" w:cs="仿宋_GB2312" w:eastAsia="仿宋_GB2312"/>
        </w:rPr>
        <w:t>澄城县自然资源局</w:t>
      </w:r>
      <w:r>
        <w:rPr>
          <w:rFonts w:ascii="仿宋_GB2312" w:hAnsi="仿宋_GB2312" w:cs="仿宋_GB2312" w:eastAsia="仿宋_GB2312"/>
        </w:rPr>
        <w:t>委托，拟对</w:t>
      </w:r>
      <w:r>
        <w:rPr>
          <w:rFonts w:ascii="仿宋_GB2312" w:hAnsi="仿宋_GB2312" w:cs="仿宋_GB2312" w:eastAsia="仿宋_GB2312"/>
        </w:rPr>
        <w:t>2025年、2026年土地储备专项债券项目实施方案编制项目(二次)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CZCZRZY(2026)FABZ-2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2025年、2026年土地储备专项债券项目实施方案编制项目(二次)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完成澄城县2025年、2026年土地储备专项债券项目实施方案等服务内容编制及土地储备专项债券相关系统所需资料的整理及上传，通过省级系统审核并完成项目入库。</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采购包1（2025年、2026年土地储备专项债券项目实施方案编制项目）：属于专门面向中小企业采购。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1、营业执照等证明文件：具有独立承担民事责任能力，提供供应商合法注册的法人或其他组织的营业执照；</w:t>
      </w:r>
    </w:p>
    <w:p>
      <w:pPr>
        <w:pStyle w:val="null3"/>
      </w:pPr>
      <w:r>
        <w:rPr>
          <w:rFonts w:ascii="仿宋_GB2312" w:hAnsi="仿宋_GB2312" w:cs="仿宋_GB2312" w:eastAsia="仿宋_GB2312"/>
        </w:rPr>
        <w:t>2、财务状况证明：提供2024年度经审计的财务报告（包含审计报告和审计报告中所涉及的财务报表和报表附注）或提供2024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p>
      <w:pPr>
        <w:pStyle w:val="null3"/>
      </w:pPr>
      <w:r>
        <w:rPr>
          <w:rFonts w:ascii="仿宋_GB2312" w:hAnsi="仿宋_GB2312" w:cs="仿宋_GB2312" w:eastAsia="仿宋_GB2312"/>
        </w:rPr>
        <w:t>3、具有履行合同所必需的设备和专业技术能力：提供具有履行合同所必需的设备和专业技术能力的说明及承诺;</w:t>
      </w:r>
    </w:p>
    <w:p>
      <w:pPr>
        <w:pStyle w:val="null3"/>
      </w:pPr>
      <w:r>
        <w:rPr>
          <w:rFonts w:ascii="仿宋_GB2312" w:hAnsi="仿宋_GB2312" w:cs="仿宋_GB2312" w:eastAsia="仿宋_GB2312"/>
        </w:rPr>
        <w:t>4、税收缴纳证明：提供投标截止时间前六个月内任意一个月的纳税证明或完税证明；（以税款所属期为准，依法免税的应提供相关证明材料）</w:t>
      </w:r>
    </w:p>
    <w:p>
      <w:pPr>
        <w:pStyle w:val="null3"/>
      </w:pPr>
      <w:r>
        <w:rPr>
          <w:rFonts w:ascii="仿宋_GB2312" w:hAnsi="仿宋_GB2312" w:cs="仿宋_GB2312" w:eastAsia="仿宋_GB2312"/>
        </w:rPr>
        <w:t>5、社会保障资金缴纳证明：供应商提供本单位2025年01月至今已缴纳的至少一个月的社会保障资金缴存单据或社保机构开具的社会保险参保缴费情况证明；（依法不需要缴纳社会保障资金的投标人应提供相关证明）</w:t>
      </w:r>
    </w:p>
    <w:p>
      <w:pPr>
        <w:pStyle w:val="null3"/>
      </w:pPr>
      <w:r>
        <w:rPr>
          <w:rFonts w:ascii="仿宋_GB2312" w:hAnsi="仿宋_GB2312" w:cs="仿宋_GB2312" w:eastAsia="仿宋_GB2312"/>
        </w:rPr>
        <w:t>6、无重大违法记录声明：提供参加政府采购活动前三年内在经营活动中没有重大违法记录的书面声明；</w:t>
      </w:r>
    </w:p>
    <w:p>
      <w:pPr>
        <w:pStyle w:val="null3"/>
      </w:pPr>
      <w:r>
        <w:rPr>
          <w:rFonts w:ascii="仿宋_GB2312" w:hAnsi="仿宋_GB2312" w:cs="仿宋_GB2312" w:eastAsia="仿宋_GB2312"/>
        </w:rPr>
        <w:t>7、供应商应授权合法的人员参加招标全过程：法定代表人亲自参加投标的，应提供法定代表人身份证明书，法定代表人委托代理人参加投标的，应提供法定代表人委托授权书；（注：代理人须为本单位在职员工并提供投标截止日前三个月内任意一个月的社会保障资金凭证并加盖投标人公章）</w:t>
      </w:r>
    </w:p>
    <w:p>
      <w:pPr>
        <w:pStyle w:val="null3"/>
      </w:pPr>
      <w:r>
        <w:rPr>
          <w:rFonts w:ascii="仿宋_GB2312" w:hAnsi="仿宋_GB2312" w:cs="仿宋_GB2312" w:eastAsia="仿宋_GB2312"/>
        </w:rPr>
        <w:t>8、供应商资质：供应商须具备经省自然资源厅出具的土地估价机构备案函；</w:t>
      </w:r>
    </w:p>
    <w:p>
      <w:pPr>
        <w:pStyle w:val="null3"/>
      </w:pPr>
      <w:r>
        <w:rPr>
          <w:rFonts w:ascii="仿宋_GB2312" w:hAnsi="仿宋_GB2312" w:cs="仿宋_GB2312" w:eastAsia="仿宋_GB2312"/>
        </w:rPr>
        <w:t>9、项目负责人：拟派项目负责人须具有注册房地产估价师资质和土地估价专业人员双资质;</w:t>
      </w:r>
    </w:p>
    <w:p>
      <w:pPr>
        <w:pStyle w:val="null3"/>
      </w:pPr>
      <w:r>
        <w:rPr>
          <w:rFonts w:ascii="仿宋_GB2312" w:hAnsi="仿宋_GB2312" w:cs="仿宋_GB2312" w:eastAsia="仿宋_GB2312"/>
        </w:rPr>
        <w:t>10、供应商信用信息：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p>
      <w:pPr>
        <w:pStyle w:val="null3"/>
      </w:pPr>
      <w:r>
        <w:rPr>
          <w:rFonts w:ascii="仿宋_GB2312" w:hAnsi="仿宋_GB2312" w:cs="仿宋_GB2312" w:eastAsia="仿宋_GB2312"/>
        </w:rPr>
        <w:t>11、非联合体投标：本项目不接受联合体投标;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澄城县古徵街七路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15929265993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澄城县政府采购中心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澄城县古徵街北段财政局大楼四楼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蒋女士、权女士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0913-6868979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澄城县自然资源局</w:t>
      </w:r>
      <w:r>
        <w:rPr>
          <w:rFonts w:ascii="仿宋_GB2312" w:hAnsi="仿宋_GB2312" w:cs="仿宋_GB2312" w:eastAsia="仿宋_GB2312"/>
        </w:rPr>
        <w:t>和</w:t>
      </w:r>
      <w:r>
        <w:rPr>
          <w:rFonts w:ascii="仿宋_GB2312" w:hAnsi="仿宋_GB2312" w:cs="仿宋_GB2312" w:eastAsia="仿宋_GB2312"/>
        </w:rPr>
        <w:t>澄城县政府采购中心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澄城县政府采购中心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澄城县政府采购中心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项目相关成果文件通过省级系统审核并完成项目入库，进行成果文件汇缴并完成交付。</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澄城县自然资源局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澄城县自然资源局</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澄城县自然资源局</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联系电话：15929265993</w:t>
      </w:r>
    </w:p>
    <w:p>
      <w:pPr>
        <w:pStyle w:val="null3"/>
      </w:pPr>
      <w:r>
        <w:rPr>
          <w:rFonts w:ascii="仿宋_GB2312" w:hAnsi="仿宋_GB2312" w:cs="仿宋_GB2312" w:eastAsia="仿宋_GB2312"/>
        </w:rPr>
        <w:t>地址：澄城县自然资源局</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完成澄城县2025年、2026年土地储备专项债券项目实施方案等服务内容编制及土地储备专项债券相关系统所需资料的整理及上传，通过省级系统审核并完成项目入库。</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2025年2026年土地储备专项债券项目实施方案编制项目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标的名称：2025年2026年土地储备专项债券项目实施方案编制项目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7"/>
                <w:b/>
              </w:rPr>
              <w:t>一</w:t>
            </w:r>
            <w:r>
              <w:rPr>
                <w:rFonts w:ascii="仿宋_GB2312" w:hAnsi="仿宋_GB2312" w:cs="仿宋_GB2312" w:eastAsia="仿宋_GB2312"/>
                <w:sz w:val="27"/>
                <w:b/>
              </w:rPr>
              <w:t>、</w:t>
            </w:r>
            <w:r>
              <w:rPr>
                <w:rFonts w:ascii="仿宋_GB2312" w:hAnsi="仿宋_GB2312" w:cs="仿宋_GB2312" w:eastAsia="仿宋_GB2312"/>
                <w:sz w:val="32"/>
              </w:rPr>
              <w:t>服务指标的具体要求</w:t>
            </w:r>
          </w:p>
          <w:p>
            <w:pPr>
              <w:pStyle w:val="null3"/>
              <w:ind w:firstLine="643"/>
              <w:jc w:val="both"/>
            </w:pPr>
            <w:r>
              <w:rPr>
                <w:rFonts w:ascii="仿宋_GB2312" w:hAnsi="仿宋_GB2312" w:cs="仿宋_GB2312" w:eastAsia="仿宋_GB2312"/>
                <w:sz w:val="32"/>
                <w:b/>
              </w:rPr>
              <w:t>1.服务项目概况</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color w:val="000000"/>
              </w:rPr>
              <w:t>根据《国务院办公厅关于优化完善地方政府专项债券管理机制的意见》（国办发〔</w:t>
            </w:r>
            <w:r>
              <w:rPr>
                <w:rFonts w:ascii="仿宋_GB2312" w:hAnsi="仿宋_GB2312" w:cs="仿宋_GB2312" w:eastAsia="仿宋_GB2312"/>
                <w:sz w:val="32"/>
                <w:color w:val="000000"/>
              </w:rPr>
              <w:t>2024〕</w:t>
            </w:r>
            <w:r>
              <w:rPr>
                <w:rFonts w:ascii="仿宋_GB2312" w:hAnsi="仿宋_GB2312" w:cs="仿宋_GB2312" w:eastAsia="仿宋_GB2312"/>
                <w:sz w:val="32"/>
                <w:color w:val="000000"/>
              </w:rPr>
              <w:t>52</w:t>
            </w:r>
            <w:r>
              <w:rPr>
                <w:rFonts w:ascii="仿宋_GB2312" w:hAnsi="仿宋_GB2312" w:cs="仿宋_GB2312" w:eastAsia="仿宋_GB2312"/>
                <w:sz w:val="32"/>
                <w:color w:val="000000"/>
              </w:rPr>
              <w:t>号）的要求，建立</w:t>
            </w:r>
            <w:r>
              <w:rPr>
                <w:rFonts w:ascii="仿宋_GB2312" w:hAnsi="仿宋_GB2312" w:cs="仿宋_GB2312" w:eastAsia="仿宋_GB2312"/>
                <w:sz w:val="32"/>
                <w:color w:val="000000"/>
              </w:rPr>
              <w:t>“</w:t>
            </w:r>
            <w:r>
              <w:rPr>
                <w:rFonts w:ascii="仿宋_GB2312" w:hAnsi="仿宋_GB2312" w:cs="仿宋_GB2312" w:eastAsia="仿宋_GB2312"/>
                <w:sz w:val="32"/>
                <w:color w:val="000000"/>
              </w:rPr>
              <w:t>常态化申报、按季度审核</w:t>
            </w:r>
            <w:r>
              <w:rPr>
                <w:rFonts w:ascii="仿宋_GB2312" w:hAnsi="仿宋_GB2312" w:cs="仿宋_GB2312" w:eastAsia="仿宋_GB2312"/>
                <w:sz w:val="32"/>
                <w:color w:val="000000"/>
              </w:rPr>
              <w:t>”</w:t>
            </w:r>
            <w:r>
              <w:rPr>
                <w:rFonts w:ascii="仿宋_GB2312" w:hAnsi="仿宋_GB2312" w:cs="仿宋_GB2312" w:eastAsia="仿宋_GB2312"/>
                <w:sz w:val="32"/>
                <w:color w:val="000000"/>
              </w:rPr>
              <w:t>的项目申报审核机制，应在每年</w:t>
            </w:r>
            <w:r>
              <w:rPr>
                <w:rFonts w:ascii="仿宋_GB2312" w:hAnsi="仿宋_GB2312" w:cs="仿宋_GB2312" w:eastAsia="仿宋_GB2312"/>
                <w:sz w:val="32"/>
                <w:color w:val="000000"/>
              </w:rPr>
              <w:t>10</w:t>
            </w:r>
            <w:r>
              <w:rPr>
                <w:rFonts w:ascii="仿宋_GB2312" w:hAnsi="仿宋_GB2312" w:cs="仿宋_GB2312" w:eastAsia="仿宋_GB2312"/>
                <w:sz w:val="32"/>
                <w:color w:val="000000"/>
              </w:rPr>
              <w:t>月底前完成下一年度项目的集中报送，并在次年</w:t>
            </w:r>
            <w:r>
              <w:rPr>
                <w:rFonts w:ascii="仿宋_GB2312" w:hAnsi="仿宋_GB2312" w:cs="仿宋_GB2312" w:eastAsia="仿宋_GB2312"/>
                <w:sz w:val="32"/>
                <w:color w:val="000000"/>
              </w:rPr>
              <w:t>2</w:t>
            </w:r>
            <w:r>
              <w:rPr>
                <w:rFonts w:ascii="仿宋_GB2312" w:hAnsi="仿宋_GB2312" w:cs="仿宋_GB2312" w:eastAsia="仿宋_GB2312"/>
                <w:sz w:val="32"/>
                <w:color w:val="000000"/>
              </w:rPr>
              <w:t>月底、</w:t>
            </w:r>
            <w:r>
              <w:rPr>
                <w:rFonts w:ascii="仿宋_GB2312" w:hAnsi="仿宋_GB2312" w:cs="仿宋_GB2312" w:eastAsia="仿宋_GB2312"/>
                <w:sz w:val="32"/>
                <w:color w:val="000000"/>
              </w:rPr>
              <w:t>5</w:t>
            </w:r>
            <w:r>
              <w:rPr>
                <w:rFonts w:ascii="仿宋_GB2312" w:hAnsi="仿宋_GB2312" w:cs="仿宋_GB2312" w:eastAsia="仿宋_GB2312"/>
                <w:sz w:val="32"/>
                <w:color w:val="000000"/>
              </w:rPr>
              <w:t>月底、</w:t>
            </w:r>
            <w:r>
              <w:rPr>
                <w:rFonts w:ascii="仿宋_GB2312" w:hAnsi="仿宋_GB2312" w:cs="仿宋_GB2312" w:eastAsia="仿宋_GB2312"/>
                <w:sz w:val="32"/>
                <w:color w:val="000000"/>
              </w:rPr>
              <w:t>8</w:t>
            </w:r>
            <w:r>
              <w:rPr>
                <w:rFonts w:ascii="仿宋_GB2312" w:hAnsi="仿宋_GB2312" w:cs="仿宋_GB2312" w:eastAsia="仿宋_GB2312"/>
                <w:sz w:val="32"/>
                <w:color w:val="000000"/>
              </w:rPr>
              <w:t>月底前分别完成该年度第二季度、第三季度、全年项目的补充报送。基于上述内容，澄城县自然资源局根据要求初步筛选四个项目包分别列入</w:t>
            </w:r>
            <w:r>
              <w:rPr>
                <w:rFonts w:ascii="仿宋_GB2312" w:hAnsi="仿宋_GB2312" w:cs="仿宋_GB2312" w:eastAsia="仿宋_GB2312"/>
                <w:sz w:val="32"/>
                <w:color w:val="000000"/>
              </w:rPr>
              <w:t>2025</w:t>
            </w:r>
            <w:r>
              <w:rPr>
                <w:rFonts w:ascii="仿宋_GB2312" w:hAnsi="仿宋_GB2312" w:cs="仿宋_GB2312" w:eastAsia="仿宋_GB2312"/>
                <w:sz w:val="32"/>
                <w:color w:val="000000"/>
              </w:rPr>
              <w:t>年、</w:t>
            </w:r>
            <w:r>
              <w:rPr>
                <w:rFonts w:ascii="仿宋_GB2312" w:hAnsi="仿宋_GB2312" w:cs="仿宋_GB2312" w:eastAsia="仿宋_GB2312"/>
                <w:sz w:val="32"/>
                <w:color w:val="000000"/>
              </w:rPr>
              <w:t>2026年澄城县地方政府专项债券发行计划。具体如下表所示：</w:t>
            </w:r>
          </w:p>
          <w:tbl>
            <w:tblPr>
              <w:tblInd w:type="dxa" w:w="90"/>
              <w:tblBorders>
                <w:top w:val="none" w:color="000000" w:sz="4"/>
                <w:left w:val="none" w:color="000000" w:sz="4"/>
                <w:bottom w:val="none" w:color="000000" w:sz="4"/>
                <w:right w:val="none" w:color="000000" w:sz="4"/>
                <w:insideH w:val="none"/>
                <w:insideV w:val="none"/>
              </w:tblBorders>
            </w:tblPr>
            <w:tblGrid>
              <w:gridCol w:w="1051"/>
              <w:gridCol w:w="450"/>
              <w:gridCol w:w="532"/>
              <w:gridCol w:w="514"/>
            </w:tblGrid>
            <w:tr>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项目包名称</w:t>
                  </w:r>
                </w:p>
              </w:tc>
              <w:tc>
                <w:tcPr>
                  <w:tcW w:type="dxa" w:w="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宗地数量（宗）</w:t>
                  </w:r>
                </w:p>
              </w:tc>
              <w:tc>
                <w:tcPr>
                  <w:tcW w:type="dxa" w:w="5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拟收储规模（亩）</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项目性质</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2025年渭南市澄城县中心城区十宗土地收储项目（新增土地储备项目）</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425.9435</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新增土地储备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2025年渭南市澄城县中心城区三宗土地收储项目（新增土地储备项目）</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136.3451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新增土地储备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2026年渭南市澄城县新增土地收储项目一（新增土地储备项目）</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44.9359</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新增土地储备</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2026年渭南市澄城县新增土地收储项目二（新增土地储备项目）</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222.4202</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新增土地储备</w:t>
                  </w:r>
                </w:p>
              </w:tc>
            </w:tr>
          </w:tbl>
          <w:p>
            <w:pPr>
              <w:pStyle w:val="null3"/>
              <w:ind w:firstLine="643"/>
              <w:jc w:val="both"/>
            </w:pPr>
            <w:r>
              <w:rPr>
                <w:rFonts w:ascii="仿宋_GB2312" w:hAnsi="仿宋_GB2312" w:cs="仿宋_GB2312" w:eastAsia="仿宋_GB2312"/>
                <w:sz w:val="32"/>
                <w:b/>
              </w:rPr>
              <w:t>2.服务内容：</w:t>
            </w:r>
          </w:p>
          <w:p>
            <w:pPr>
              <w:pStyle w:val="null3"/>
              <w:ind w:firstLine="640"/>
              <w:jc w:val="both"/>
            </w:pPr>
            <w:r>
              <w:rPr>
                <w:rFonts w:ascii="仿宋_GB2312" w:hAnsi="仿宋_GB2312" w:cs="仿宋_GB2312" w:eastAsia="仿宋_GB2312"/>
                <w:sz w:val="32"/>
                <w:color w:val="000000"/>
              </w:rPr>
              <w:t>以实际实施的项目包为单位，完成</w:t>
            </w:r>
            <w:r>
              <w:rPr>
                <w:rFonts w:ascii="仿宋_GB2312" w:hAnsi="仿宋_GB2312" w:cs="仿宋_GB2312" w:eastAsia="仿宋_GB2312"/>
                <w:sz w:val="32"/>
                <w:color w:val="000000"/>
              </w:rPr>
              <w:t>2025年、2026年渭南市澄城县新增土地储备项目实施方案、事前绩效评估及相关土地评估咨询报告的编制工作；完成相关省、部级土地储备专项债券相关系统所需资料的整理及上传，通过省级系统审核并完成项目入库；最终提交对应的成果文件。</w:t>
            </w:r>
          </w:p>
          <w:p>
            <w:pPr>
              <w:pStyle w:val="null3"/>
              <w:ind w:firstLine="641"/>
              <w:jc w:val="both"/>
            </w:pPr>
            <w:r>
              <w:rPr>
                <w:rFonts w:ascii="仿宋_GB2312" w:hAnsi="仿宋_GB2312" w:cs="仿宋_GB2312" w:eastAsia="仿宋_GB2312"/>
                <w:sz w:val="30"/>
                <w:b/>
              </w:rPr>
              <w:t>3.成果文件要求：</w:t>
            </w:r>
          </w:p>
          <w:p>
            <w:pPr>
              <w:pStyle w:val="null3"/>
              <w:ind w:firstLine="640"/>
              <w:jc w:val="both"/>
            </w:pPr>
            <w:r>
              <w:rPr>
                <w:rFonts w:ascii="仿宋_GB2312" w:hAnsi="仿宋_GB2312" w:cs="仿宋_GB2312" w:eastAsia="仿宋_GB2312"/>
                <w:sz w:val="32"/>
                <w:color w:val="000000"/>
              </w:rPr>
              <w:t>项目实施方案（电子版）、事前绩效评估报告（纸质版）、土地评估咨询类报告（纸质版）等。</w:t>
            </w:r>
          </w:p>
          <w:p>
            <w:pPr>
              <w:pStyle w:val="null3"/>
              <w:ind w:firstLine="640"/>
              <w:jc w:val="both"/>
            </w:pPr>
            <w:r>
              <w:rPr>
                <w:rFonts w:ascii="仿宋_GB2312" w:hAnsi="仿宋_GB2312" w:cs="仿宋_GB2312" w:eastAsia="仿宋_GB2312"/>
                <w:sz w:val="27"/>
              </w:rPr>
              <w:t>二、本项目的费用组成明细：</w:t>
            </w:r>
          </w:p>
          <w:tbl>
            <w:tblPr>
              <w:tblBorders>
                <w:top w:val="none" w:color="000000" w:sz="4"/>
                <w:left w:val="none" w:color="000000" w:sz="4"/>
                <w:bottom w:val="none" w:color="000000" w:sz="4"/>
                <w:right w:val="none" w:color="000000" w:sz="4"/>
                <w:insideH w:val="none"/>
                <w:insideV w:val="none"/>
              </w:tblBorders>
            </w:tblPr>
            <w:tblGrid>
              <w:gridCol w:w="223"/>
              <w:gridCol w:w="854"/>
              <w:gridCol w:w="956"/>
              <w:gridCol w:w="169"/>
              <w:gridCol w:w="169"/>
              <w:gridCol w:w="169"/>
            </w:tblGrid>
            <w:tr>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8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项目名称</w:t>
                  </w:r>
                </w:p>
              </w:tc>
              <w:tc>
                <w:tcPr>
                  <w:tcW w:type="dxa" w:w="9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工作流程及工作内容</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2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年渭南市澄城县中心城区十宗土地收储项目（新增土地储备项目）</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前期沟通筹备，明确成果目标</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拟定工作方案，组建工作小组</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项目资料收集整理</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现场踏勘及地块周边资料搜集</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搜集资料并进行研究分析</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实施方案、事前绩效评估、土地报告等初稿撰写及审核</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各类成果论证沟通及提交</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完成土地储备专项债券系统所需资料的整理及上传，通过</w:t>
                  </w:r>
                  <w:r>
                    <w:rPr>
                      <w:rFonts w:ascii="仿宋_GB2312" w:hAnsi="仿宋_GB2312" w:cs="仿宋_GB2312" w:eastAsia="仿宋_GB2312"/>
                      <w:sz w:val="20"/>
                      <w:color w:val="000000"/>
                    </w:rPr>
                    <w:t>省级系统审核</w:t>
                  </w:r>
                  <w:r>
                    <w:rPr>
                      <w:rFonts w:ascii="仿宋_GB2312" w:hAnsi="仿宋_GB2312" w:cs="仿宋_GB2312" w:eastAsia="仿宋_GB2312"/>
                      <w:sz w:val="20"/>
                      <w:color w:val="000000"/>
                    </w:rPr>
                    <w:t>并完成项目入库</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成果文件交付</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2025</w:t>
                  </w:r>
                  <w:r>
                    <w:rPr>
                      <w:rFonts w:ascii="仿宋_GB2312" w:hAnsi="仿宋_GB2312" w:cs="仿宋_GB2312" w:eastAsia="仿宋_GB2312"/>
                      <w:sz w:val="20"/>
                      <w:color w:val="000000"/>
                    </w:rPr>
                    <w:t>年渭南市澄城县中心城区三宗土地收储项目（新增土地储备项目）</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前期沟通筹备，明确成果目标</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拟定工作方案，组建工作小组</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项目资料收集整理</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现场踏勘及地块周边资料搜集</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搜集资料的资料研究分析</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实施方案、事前绩效评估、土地报告等初稿撰写及审核</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各类成果论证沟通及提交</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完成土地储备专项债券系统所需资料的整理及上传，通过</w:t>
                  </w:r>
                  <w:r>
                    <w:rPr>
                      <w:rFonts w:ascii="仿宋_GB2312" w:hAnsi="仿宋_GB2312" w:cs="仿宋_GB2312" w:eastAsia="仿宋_GB2312"/>
                      <w:sz w:val="20"/>
                      <w:color w:val="000000"/>
                    </w:rPr>
                    <w:t>省级系统审核</w:t>
                  </w:r>
                  <w:r>
                    <w:rPr>
                      <w:rFonts w:ascii="仿宋_GB2312" w:hAnsi="仿宋_GB2312" w:cs="仿宋_GB2312" w:eastAsia="仿宋_GB2312"/>
                      <w:sz w:val="20"/>
                      <w:color w:val="000000"/>
                    </w:rPr>
                    <w:t>并完成项目入库</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成果文件交付</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2026</w:t>
                  </w:r>
                  <w:r>
                    <w:rPr>
                      <w:rFonts w:ascii="仿宋_GB2312" w:hAnsi="仿宋_GB2312" w:cs="仿宋_GB2312" w:eastAsia="仿宋_GB2312"/>
                      <w:sz w:val="20"/>
                      <w:color w:val="000000"/>
                    </w:rPr>
                    <w:t>年渭南市澄城县新增土地收储项目一（新增土地储备项目）</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前期沟通筹备，明确成果目标</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拟定工作方案，组建工作小组</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项目资料收集整理</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现场踏勘及地块周边资料搜集</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搜集资料的资料研究分析</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实施方案、事前绩效评估、土地报告等初稿撰写及审核</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各类成果论证沟通及提交</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完成土地储备专项债券系统所需资料的整理及上传，通过</w:t>
                  </w:r>
                  <w:r>
                    <w:rPr>
                      <w:rFonts w:ascii="仿宋_GB2312" w:hAnsi="仿宋_GB2312" w:cs="仿宋_GB2312" w:eastAsia="仿宋_GB2312"/>
                      <w:sz w:val="20"/>
                      <w:color w:val="000000"/>
                    </w:rPr>
                    <w:t>省级系统审核</w:t>
                  </w:r>
                  <w:r>
                    <w:rPr>
                      <w:rFonts w:ascii="仿宋_GB2312" w:hAnsi="仿宋_GB2312" w:cs="仿宋_GB2312" w:eastAsia="仿宋_GB2312"/>
                      <w:sz w:val="20"/>
                      <w:color w:val="000000"/>
                    </w:rPr>
                    <w:t>并完成项目入库</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成果文件交付</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8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2026</w:t>
                  </w:r>
                  <w:r>
                    <w:rPr>
                      <w:rFonts w:ascii="仿宋_GB2312" w:hAnsi="仿宋_GB2312" w:cs="仿宋_GB2312" w:eastAsia="仿宋_GB2312"/>
                      <w:sz w:val="20"/>
                      <w:color w:val="000000"/>
                    </w:rPr>
                    <w:t>年渭南市澄城县新增土地收储项目二（新增土地储备项目）</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前期沟通筹备，明确成果目标</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拟定工作方案，组建工作小组</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项目资料收集整理</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现场踏勘及地块周边资料搜集</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搜集资料的资料研究分析</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实施方案、事前绩效评估、土地报告等初稿撰写及审核</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各类成果论证沟通及提交</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完成土地储备专项债券系统所需资料的整理及上传，通过</w:t>
                  </w:r>
                  <w:r>
                    <w:rPr>
                      <w:rFonts w:ascii="仿宋_GB2312" w:hAnsi="仿宋_GB2312" w:cs="仿宋_GB2312" w:eastAsia="仿宋_GB2312"/>
                      <w:sz w:val="20"/>
                      <w:color w:val="000000"/>
                    </w:rPr>
                    <w:t>省级系统审核</w:t>
                  </w:r>
                  <w:r>
                    <w:rPr>
                      <w:rFonts w:ascii="仿宋_GB2312" w:hAnsi="仿宋_GB2312" w:cs="仿宋_GB2312" w:eastAsia="仿宋_GB2312"/>
                      <w:sz w:val="20"/>
                      <w:color w:val="000000"/>
                    </w:rPr>
                    <w:t>并完成项目入库</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3"/>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成果文件交付</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拟投入人员须满足完成采购内容要求的所有事项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拟投入设施设备须满足完成采购内容要求的所有事项</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渭南市澄城县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项目相关成果文件通过省级系统审核并完成项目入库，进行成果文件汇缴并完成交付。</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以实际实施的项目包为单位，实施方案等服务内容编制完成后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完成土地储备专项债券相关系统所需资料的整理及上传，通过省级系统审核并完成项目入库后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提交最终成果文件后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招投标法》的相关条款规定和本合同约定，中标供应商未全面履行合同义务或者发生违约，采购人会同招标组织机构有权终止合同，依法向中标供应商进行经济索赔，并报请政府采购监督管理机关依法进行相应的行政处罚。采购人违约的，应当赔偿给中标供应商造成的经济损失。 确认方不对任何一方的违约行为承担任何责任。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经审计的财务报告（包含审计报告和审计报告中所涉及的财务报表和报表附注）或提供2024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提供具有履行合同所必需的设备和专业技术能力的说明及承诺;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供应商提供本单位2025年01月至今已缴纳的至少一个月的社会保障资金缴存单据或社保机构开具的社会保险参保缴费情况证明；（依法不需要缴纳社会保障资金的投标人应提供相关证明）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供应商应授权合法的人员参加招标全过程</w:t>
            </w:r>
          </w:p>
        </w:tc>
        <w:tc>
          <w:tcPr>
            <w:tcW w:type="dxa" w:w="3322"/>
          </w:tcPr>
          <w:p>
            <w:pPr>
              <w:pStyle w:val="null3"/>
            </w:pPr>
            <w:r>
              <w:rPr>
                <w:rFonts w:ascii="仿宋_GB2312" w:hAnsi="仿宋_GB2312" w:cs="仿宋_GB2312" w:eastAsia="仿宋_GB2312"/>
              </w:rPr>
              <w:t>法定代表人亲自参加投标的，应提供法定代表人身份证明书，法定代表人委托代理人参加投标的，应提供法定代表人委托授权书；（注：代理人须为本单位在职员工并提供投标截止日前三个月内任意一个月的社会保障资金凭证并加盖投标人公章）</w:t>
            </w:r>
          </w:p>
        </w:tc>
        <w:tc>
          <w:tcPr>
            <w:tcW w:type="dxa" w:w="1661"/>
          </w:tcPr>
          <w:p>
            <w:pPr>
              <w:pStyle w:val="null3"/>
            </w:pPr>
            <w:r>
              <w:rPr>
                <w:rFonts w:ascii="仿宋_GB2312" w:hAnsi="仿宋_GB2312" w:cs="仿宋_GB2312" w:eastAsia="仿宋_GB2312"/>
              </w:rPr>
              <w:t>法定代表人身份证明及法定代表人授权委托书.docx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供应商须具备经省自然资源厅出具的土地估价机构备案函；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拟派项目负责人须具有注册房地产估价师资质和土地估价专业人员双资质;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分项报价表(服务).docx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按竞争性磋商文件要求进行签章</w:t>
            </w:r>
          </w:p>
        </w:tc>
        <w:tc>
          <w:tcPr>
            <w:tcW w:type="dxa" w:w="1661"/>
          </w:tcPr>
          <w:p>
            <w:pPr>
              <w:pStyle w:val="null3"/>
            </w:pPr>
            <w:r>
              <w:rPr>
                <w:rFonts w:ascii="仿宋_GB2312" w:hAnsi="仿宋_GB2312" w:cs="仿宋_GB2312" w:eastAsia="仿宋_GB2312"/>
              </w:rPr>
              <w:t>法定代表人身份证明及法定代表人授权委托书.docx 服务内容及服务邀请应答表 中小企业声明函 商务应答表 供应商应提交的相关资格证明材料 报价表 分项报价表(服务).docx 响应文件封面 无重大违法记录书面声明.docx 残疾人福利性单位声明函 服务方案 业绩证明材料.docx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标的清单 报价表 分项报价表(服务).docx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（1）符合商务、技术要求，不存在重大负偏离（2）未附有采购人不能接受的条件 （3）符合磋商文件规定的其他实质性要求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响应文件封面 服务内容及服务邀请应答表 商务应答表 服务方案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1.评审内容：供应商针对本项目制定的总体工作方案，包含①项目需求，②目标任务，③编制标准规范方案，④工作流程，⑤实施保障措施。2.评审标准：①.完整性：服务方案须全面，思路清晰、分析透彻，内容完整、方案科学、合理；②.可实施性；切合本项目实际情况，步骤明确、可操作性强；③针对性：总体方案能够紧扣项目实际情况，专业性强、内容科学、合理。3.赋分标准（满分20分）：①每一项评审内容完全满足评审标准得4分；②每一项评审内容若存在方案不够明确、不够合理、不够完整、针对性不够强等方面，扣0.5分；③每一项评审内容不提供或完全背离评审标准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1.评审内容：包含①实施方案编制；②事前绩效评估报告编制；③土地评估咨询报告编制；④省、部级土地储备专项债券相关系统资料上传。 2.评审标准：①完整性：保障措施须全面，完整、科学、合理；②可实施性；切合本项目实际情况，思路明确、可操作性强；③针对性：能够紧扣项目实际情况，内容科学、合理。3.赋分标准（满分16分）：①每一项评审内容完全满足评审标准得4分；②每一项评审内容若存在方案不够明确、不够合理、不够完整、针对性不够强等方面，扣0.5分；③每一项评审内容不提供或完全背离评审标准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其他服务措施</w:t>
            </w:r>
          </w:p>
        </w:tc>
        <w:tc>
          <w:tcPr>
            <w:tcW w:type="dxa" w:w="2492"/>
          </w:tcPr>
          <w:p>
            <w:pPr>
              <w:pStyle w:val="null3"/>
            </w:pPr>
            <w:r>
              <w:rPr>
                <w:rFonts w:ascii="仿宋_GB2312" w:hAnsi="仿宋_GB2312" w:cs="仿宋_GB2312" w:eastAsia="仿宋_GB2312"/>
              </w:rPr>
              <w:t>评审因素： ①保密措施；②资料管理措施；③对紧急或突发情况的应急保障措施。 评审依据：每一项内容描述详细，切实可行符合项目实际内容得4.0分，①～③项合计得12.0分。内容①～③项任意一项缺项扣4.0分，扣完为止；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拟派项目团队人员（除项目负责人外）具有房地产估价、土地估价、资产评估专业人员的，每提供一个人员得1分，满分6分；未提供不得分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重、难点分析方案</w:t>
            </w:r>
          </w:p>
        </w:tc>
        <w:tc>
          <w:tcPr>
            <w:tcW w:type="dxa" w:w="2492"/>
          </w:tcPr>
          <w:p>
            <w:pPr>
              <w:pStyle w:val="null3"/>
            </w:pPr>
            <w:r>
              <w:rPr>
                <w:rFonts w:ascii="仿宋_GB2312" w:hAnsi="仿宋_GB2312" w:cs="仿宋_GB2312" w:eastAsia="仿宋_GB2312"/>
              </w:rPr>
              <w:t>1.评审内容：投标人针对本项目重、难点分析方案：包含但不限于①重难点分析；②重难点解决对策。2.评审标准：①完整性：以上内容无缺项，内容全面。②针对性：专门针对本项目编制，符合本项目实际情况。③可实施性：内容全面详细，且条理清晰、准确、合理，能够保障项目顺利实施，可操作性强。3.赋分标准（满分6分）：①每一项评审内容完全满足评审标准得3分；②每一项评审内容若存在内容不够明确、不够合理、不够完整、针对性不强等方面，扣1分；③每一项评审内容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项目进度计划及质量保证措施</w:t>
            </w:r>
          </w:p>
        </w:tc>
        <w:tc>
          <w:tcPr>
            <w:tcW w:type="dxa" w:w="2492"/>
          </w:tcPr>
          <w:p>
            <w:pPr>
              <w:pStyle w:val="null3"/>
            </w:pPr>
            <w:r>
              <w:rPr>
                <w:rFonts w:ascii="仿宋_GB2312" w:hAnsi="仿宋_GB2312" w:cs="仿宋_GB2312" w:eastAsia="仿宋_GB2312"/>
              </w:rPr>
              <w:t>1.评审内容：供应商针对本项目提供项目进度计划及质量保证措施，内容包括：①各阶段工作计划及保证措施；②各阶段质量保证措施。2.评审标准①完整性：保障措施须全面，完整、科学、合理；②可实施性；切合本项目实际情况，思路明确、可操作性强；③针对性：能够紧扣项目实际情况，内容科学、合理。3.赋分标准（满分6分）①每一项评审内容完全满足评审标准得3分；②每一项评审内容若存在不够明确、不够合理、不够完整、针对性不够强等方面，扣1分；③每一项评审内容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后期服务配合计划</w:t>
            </w:r>
          </w:p>
        </w:tc>
        <w:tc>
          <w:tcPr>
            <w:tcW w:type="dxa" w:w="2492"/>
          </w:tcPr>
          <w:p>
            <w:pPr>
              <w:pStyle w:val="null3"/>
            </w:pPr>
            <w:r>
              <w:rPr>
                <w:rFonts w:ascii="仿宋_GB2312" w:hAnsi="仿宋_GB2312" w:cs="仿宋_GB2312" w:eastAsia="仿宋_GB2312"/>
              </w:rPr>
              <w:t>1.评审内容：后期服务配合计划，包括①为采购人提供相关技术咨询，②优化建议等措施，③配合采购人提供相应的成果及相关材料，④配合采购人完成汇报演示、成果验收及报批等相关工作。2.评审标准①完整性：后期服务配合计划全面，完整、科学、合理；②可实施性；切合本项目实际情况，思路明确、可操作性强；③针对性：能够紧扣项目实际情况，内容科学、合理。3.赋分标准（满分6分）①每一项评审内容完全满足评审标准得1.5分；②每一项评审内容若存在不够明确、不够合理、不够完整、针对性不够强等方面，扣0.5分；③每一项评审内容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服务保证及承诺</w:t>
            </w:r>
          </w:p>
        </w:tc>
        <w:tc>
          <w:tcPr>
            <w:tcW w:type="dxa" w:w="2492"/>
          </w:tcPr>
          <w:p>
            <w:pPr>
              <w:pStyle w:val="null3"/>
            </w:pPr>
            <w:r>
              <w:rPr>
                <w:rFonts w:ascii="仿宋_GB2312" w:hAnsi="仿宋_GB2312" w:cs="仿宋_GB2312" w:eastAsia="仿宋_GB2312"/>
              </w:rPr>
              <w:t>评审因素： ①质量保证措施；②进度保障措施；③服务承诺；④其他有利于本项目实施的承诺。 评审依据：每一项内容描述详细，切实可行符合项目实际内容得1.5分，①～④项合计得6分。内容①～④项任意一项缺项扣1.5分，扣完为止；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评审因素：合理化建议。 评审依据：内容描述详细，切实可行符合项目实际内容得2.0分。内容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供应商2024年1月1日至今同类项目业绩，每提供1份得1分，最高得5分；业绩证明（以合同或中标通知书为准，须在投标文件中附合同或中标通知书的扫描件加盖单位公章）弄虚作假者，取消其中标资格。</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 2.满足竞争性磋商文件实质性要求且最后报价最低的供应商的价格为磋商基准价，其价格分为满分15分。 3.磋商报价得分=（磋商基准价/磋商评审价）×15%×100的公式计算得分。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分项报价表(服务).docx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详见附件：分项报价表(服务).docx</w:t>
      </w:r>
    </w:p>
    <w:p>
      <w:pPr>
        <w:pStyle w:val="null3"/>
        <w:ind w:firstLine="960"/>
      </w:pPr>
      <w:r>
        <w:rPr>
          <w:rFonts w:ascii="仿宋_GB2312" w:hAnsi="仿宋_GB2312" w:cs="仿宋_GB2312" w:eastAsia="仿宋_GB2312"/>
        </w:rPr>
        <w:t>详见附件：法定代表人身份证明及法定代表人授权委托书.docx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详见附件：服务合同样本（三方）.docx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