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版本号：SX-JSZB(2025)-01620251011001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2025年区域农事服务中心项目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SX-JSZB(2025)-016</w:t>
      </w:r>
      <w:r>
        <w:br/>
      </w:r>
      <w:r>
        <w:br/>
      </w:r>
      <w:r>
        <w:br/>
      </w:r>
    </w:p>
    <w:p>
      <w:pPr>
        <w:pStyle w:val="null3"/>
        <w:jc w:val="center"/>
        <w:outlineLvl w:val="2"/>
      </w:pPr>
      <w:r>
        <w:rPr>
          <w:rFonts w:ascii="仿宋_GB2312" w:hAnsi="仿宋_GB2312" w:cs="仿宋_GB2312" w:eastAsia="仿宋_GB2312"/>
          <w:sz w:val="28"/>
          <w:b/>
        </w:rPr>
        <w:t>蒲城县农业机械化发展中心</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蒲城县农业机械化发展中心</w:t>
      </w:r>
      <w:r>
        <w:rPr>
          <w:rFonts w:ascii="仿宋_GB2312" w:hAnsi="仿宋_GB2312" w:cs="仿宋_GB2312" w:eastAsia="仿宋_GB2312"/>
        </w:rPr>
        <w:t>委托，拟对</w:t>
      </w:r>
      <w:r>
        <w:rPr>
          <w:rFonts w:ascii="仿宋_GB2312" w:hAnsi="仿宋_GB2312" w:cs="仿宋_GB2312" w:eastAsia="仿宋_GB2312"/>
        </w:rPr>
        <w:t>2025年区域农事服务中心项目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SX-JSZB(2025)-016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2025年区域农事服务中心项目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农机装备优化升级，粮食生产关键机具，植保与应急服务装备。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投标人是法人或其他组织的应提供营业执照等证明文件，投标人是自然人的应提供有效的自然人身份证明；</w:t>
      </w:r>
    </w:p>
    <w:p>
      <w:pPr>
        <w:pStyle w:val="null3"/>
      </w:pPr>
      <w:r>
        <w:rPr>
          <w:rFonts w:ascii="仿宋_GB2312" w:hAnsi="仿宋_GB2312" w:cs="仿宋_GB2312" w:eastAsia="仿宋_GB2312"/>
        </w:rPr>
        <w:t>2、财务状况报告：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3、税收缴纳证明：提供投标截止日前6个月内已缴纳的至少一个月的纳税证明或完税证明（增值税或印花税等税种），依法免税的单位应提供相关证明材料；</w:t>
      </w:r>
    </w:p>
    <w:p>
      <w:pPr>
        <w:pStyle w:val="null3"/>
      </w:pPr>
      <w:r>
        <w:rPr>
          <w:rFonts w:ascii="仿宋_GB2312" w:hAnsi="仿宋_GB2312" w:cs="仿宋_GB2312" w:eastAsia="仿宋_GB2312"/>
        </w:rPr>
        <w:t>4、社会保障资金缴纳证明：提供投标截止日前6个月内已缴存的至少一个月的社会保障资金缴存单据或社保机构开具的社会保险参保缴费情况证明，依法不需要缴纳社会保障资金的单位应提供相关证明材料；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8、信用查询：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蒲城县农业机械化发展中心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蒲城县城关镇东风街西段75号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居老师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0913-7212290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陕西省西安市经济技术开发区凤城八路158号20幢1单元6楼609室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董星、郑凌汐、高欢、宋雯静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蒲城县农业机械化发展中心</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蒲城县农业机械化发展中心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蒲城县农业机械化发展中心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投标文件及合同承诺的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农机装备优化升级，粮食生产关键机具，植保与应急服务装备。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2025年区域农事服务中心项目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标的名称：2025年区域农事服务中心项目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1、气吸式玉米精播机（2台）</w:t>
            </w:r>
          </w:p>
          <w:p>
            <w:pPr>
              <w:pStyle w:val="null3"/>
            </w:pPr>
            <w:r>
              <w:rPr>
                <w:rFonts w:ascii="仿宋_GB2312" w:hAnsi="仿宋_GB2312" w:cs="仿宋_GB2312" w:eastAsia="仿宋_GB2312"/>
              </w:rPr>
              <w:t>（1）配套动力：≥85kw</w:t>
            </w:r>
          </w:p>
          <w:p>
            <w:pPr>
              <w:pStyle w:val="null3"/>
            </w:pPr>
            <w:r>
              <w:rPr>
                <w:rFonts w:ascii="仿宋_GB2312" w:hAnsi="仿宋_GB2312" w:cs="仿宋_GB2312" w:eastAsia="仿宋_GB2312"/>
              </w:rPr>
              <w:t>（2）作业速度：≥8km/h</w:t>
            </w:r>
          </w:p>
          <w:p>
            <w:pPr>
              <w:pStyle w:val="null3"/>
            </w:pPr>
            <w:r>
              <w:rPr>
                <w:rFonts w:ascii="仿宋_GB2312" w:hAnsi="仿宋_GB2312" w:cs="仿宋_GB2312" w:eastAsia="仿宋_GB2312"/>
              </w:rPr>
              <w:t>（3）行距：≥450mm</w:t>
            </w:r>
          </w:p>
          <w:p>
            <w:pPr>
              <w:pStyle w:val="null3"/>
            </w:pPr>
            <w:r>
              <w:rPr>
                <w:rFonts w:ascii="仿宋_GB2312" w:hAnsi="仿宋_GB2312" w:cs="仿宋_GB2312" w:eastAsia="仿宋_GB2312"/>
              </w:rPr>
              <w:t>（4）播种行数：≥4</w:t>
            </w:r>
          </w:p>
          <w:p>
            <w:pPr>
              <w:pStyle w:val="null3"/>
            </w:pPr>
            <w:r>
              <w:rPr>
                <w:rFonts w:ascii="仿宋_GB2312" w:hAnsi="仿宋_GB2312" w:cs="仿宋_GB2312" w:eastAsia="仿宋_GB2312"/>
              </w:rPr>
              <w:t>（5）结构型式：气吸式</w:t>
            </w:r>
          </w:p>
          <w:p>
            <w:pPr>
              <w:pStyle w:val="null3"/>
            </w:pPr>
            <w:r>
              <w:rPr>
                <w:rFonts w:ascii="仿宋_GB2312" w:hAnsi="仿宋_GB2312" w:cs="仿宋_GB2312" w:eastAsia="仿宋_GB2312"/>
              </w:rPr>
              <w:t>（6）仿形方式：同步仿形</w:t>
            </w:r>
          </w:p>
          <w:p>
            <w:pPr>
              <w:pStyle w:val="null3"/>
            </w:pPr>
            <w:r>
              <w:rPr>
                <w:rFonts w:ascii="仿宋_GB2312" w:hAnsi="仿宋_GB2312" w:cs="仿宋_GB2312" w:eastAsia="仿宋_GB2312"/>
              </w:rPr>
              <w:t>2、气吸式精量播种机（1台）</w:t>
            </w:r>
          </w:p>
          <w:p>
            <w:pPr>
              <w:pStyle w:val="null3"/>
            </w:pPr>
            <w:r>
              <w:rPr>
                <w:rFonts w:ascii="仿宋_GB2312" w:hAnsi="仿宋_GB2312" w:cs="仿宋_GB2312" w:eastAsia="仿宋_GB2312"/>
              </w:rPr>
              <w:t>（1）配套动力：≥115kw</w:t>
            </w:r>
          </w:p>
          <w:p>
            <w:pPr>
              <w:pStyle w:val="null3"/>
            </w:pPr>
            <w:r>
              <w:rPr>
                <w:rFonts w:ascii="仿宋_GB2312" w:hAnsi="仿宋_GB2312" w:cs="仿宋_GB2312" w:eastAsia="仿宋_GB2312"/>
              </w:rPr>
              <w:t>（2）作业速度：≥8km/h</w:t>
            </w:r>
          </w:p>
          <w:p>
            <w:pPr>
              <w:pStyle w:val="null3"/>
            </w:pPr>
            <w:r>
              <w:rPr>
                <w:rFonts w:ascii="仿宋_GB2312" w:hAnsi="仿宋_GB2312" w:cs="仿宋_GB2312" w:eastAsia="仿宋_GB2312"/>
              </w:rPr>
              <w:t>（3）行距：≥450mm</w:t>
            </w:r>
          </w:p>
          <w:p>
            <w:pPr>
              <w:pStyle w:val="null3"/>
            </w:pPr>
            <w:r>
              <w:rPr>
                <w:rFonts w:ascii="仿宋_GB2312" w:hAnsi="仿宋_GB2312" w:cs="仿宋_GB2312" w:eastAsia="仿宋_GB2312"/>
              </w:rPr>
              <w:t>（4）播种行数：≥5</w:t>
            </w:r>
          </w:p>
          <w:p>
            <w:pPr>
              <w:pStyle w:val="null3"/>
            </w:pPr>
            <w:r>
              <w:rPr>
                <w:rFonts w:ascii="仿宋_GB2312" w:hAnsi="仿宋_GB2312" w:cs="仿宋_GB2312" w:eastAsia="仿宋_GB2312"/>
              </w:rPr>
              <w:t>（5）结构型式：气吸式</w:t>
            </w:r>
          </w:p>
          <w:p>
            <w:pPr>
              <w:pStyle w:val="null3"/>
            </w:pPr>
            <w:r>
              <w:rPr>
                <w:rFonts w:ascii="仿宋_GB2312" w:hAnsi="仿宋_GB2312" w:cs="仿宋_GB2312" w:eastAsia="仿宋_GB2312"/>
              </w:rPr>
              <w:t>（6）仿形方式：同步仿形</w:t>
            </w:r>
          </w:p>
          <w:p>
            <w:pPr>
              <w:pStyle w:val="null3"/>
            </w:pPr>
            <w:r>
              <w:rPr>
                <w:rFonts w:ascii="仿宋_GB2312" w:hAnsi="仿宋_GB2312" w:cs="仿宋_GB2312" w:eastAsia="仿宋_GB2312"/>
              </w:rPr>
              <w:t>3、小麦播种机（2台）</w:t>
            </w:r>
          </w:p>
          <w:p>
            <w:pPr>
              <w:pStyle w:val="null3"/>
            </w:pPr>
            <w:r>
              <w:rPr>
                <w:rFonts w:ascii="仿宋_GB2312" w:hAnsi="仿宋_GB2312" w:cs="仿宋_GB2312" w:eastAsia="仿宋_GB2312"/>
              </w:rPr>
              <w:t>（1）播种行数：≥12</w:t>
            </w:r>
          </w:p>
          <w:p>
            <w:pPr>
              <w:pStyle w:val="null3"/>
            </w:pPr>
            <w:r>
              <w:rPr>
                <w:rFonts w:ascii="仿宋_GB2312" w:hAnsi="仿宋_GB2312" w:cs="仿宋_GB2312" w:eastAsia="仿宋_GB2312"/>
              </w:rPr>
              <w:t>（2）配套动力：≥20kw</w:t>
            </w:r>
          </w:p>
          <w:p>
            <w:pPr>
              <w:pStyle w:val="null3"/>
            </w:pPr>
            <w:r>
              <w:rPr>
                <w:rFonts w:ascii="仿宋_GB2312" w:hAnsi="仿宋_GB2312" w:cs="仿宋_GB2312" w:eastAsia="仿宋_GB2312"/>
              </w:rPr>
              <w:t>（3）镇压器型式：辊轮式</w:t>
            </w:r>
          </w:p>
          <w:p>
            <w:pPr>
              <w:pStyle w:val="null3"/>
            </w:pPr>
            <w:r>
              <w:rPr>
                <w:rFonts w:ascii="仿宋_GB2312" w:hAnsi="仿宋_GB2312" w:cs="仿宋_GB2312" w:eastAsia="仿宋_GB2312"/>
              </w:rPr>
              <w:t>（4）工作幅宽：≥180cm</w:t>
            </w:r>
          </w:p>
          <w:p>
            <w:pPr>
              <w:pStyle w:val="null3"/>
            </w:pPr>
            <w:r>
              <w:rPr>
                <w:rFonts w:ascii="仿宋_GB2312" w:hAnsi="仿宋_GB2312" w:cs="仿宋_GB2312" w:eastAsia="仿宋_GB2312"/>
              </w:rPr>
              <w:t>（5）作业速度：≥0.5m/s</w:t>
            </w:r>
          </w:p>
          <w:p>
            <w:pPr>
              <w:pStyle w:val="null3"/>
            </w:pPr>
            <w:r>
              <w:rPr>
                <w:rFonts w:ascii="仿宋_GB2312" w:hAnsi="仿宋_GB2312" w:cs="仿宋_GB2312" w:eastAsia="仿宋_GB2312"/>
              </w:rPr>
              <w:t>4、小麦宽幅沟播播种机（2台）</w:t>
            </w:r>
          </w:p>
          <w:p>
            <w:pPr>
              <w:pStyle w:val="null3"/>
            </w:pPr>
            <w:r>
              <w:rPr>
                <w:rFonts w:ascii="仿宋_GB2312" w:hAnsi="仿宋_GB2312" w:cs="仿宋_GB2312" w:eastAsia="仿宋_GB2312"/>
              </w:rPr>
              <w:t>（1）工作幅宽：≥2400mm</w:t>
            </w:r>
          </w:p>
          <w:p>
            <w:pPr>
              <w:pStyle w:val="null3"/>
            </w:pPr>
            <w:r>
              <w:rPr>
                <w:rFonts w:ascii="仿宋_GB2312" w:hAnsi="仿宋_GB2312" w:cs="仿宋_GB2312" w:eastAsia="仿宋_GB2312"/>
              </w:rPr>
              <w:t>（2）配套动力：≥100kw</w:t>
            </w:r>
          </w:p>
          <w:p>
            <w:pPr>
              <w:pStyle w:val="null3"/>
            </w:pPr>
            <w:r>
              <w:rPr>
                <w:rFonts w:ascii="仿宋_GB2312" w:hAnsi="仿宋_GB2312" w:cs="仿宋_GB2312" w:eastAsia="仿宋_GB2312"/>
              </w:rPr>
              <w:t>（3）工作行数：≥14</w:t>
            </w:r>
          </w:p>
          <w:p>
            <w:pPr>
              <w:pStyle w:val="null3"/>
            </w:pPr>
            <w:r>
              <w:rPr>
                <w:rFonts w:ascii="仿宋_GB2312" w:hAnsi="仿宋_GB2312" w:cs="仿宋_GB2312" w:eastAsia="仿宋_GB2312"/>
              </w:rPr>
              <w:t>（4）排种器形式：外槽轮式</w:t>
            </w:r>
          </w:p>
          <w:p>
            <w:pPr>
              <w:pStyle w:val="null3"/>
            </w:pPr>
            <w:r>
              <w:rPr>
                <w:rFonts w:ascii="仿宋_GB2312" w:hAnsi="仿宋_GB2312" w:cs="仿宋_GB2312" w:eastAsia="仿宋_GB2312"/>
              </w:rPr>
              <w:t>（5）传动机构：镇压轮链传动</w:t>
            </w:r>
          </w:p>
          <w:p>
            <w:pPr>
              <w:pStyle w:val="null3"/>
            </w:pPr>
            <w:r>
              <w:rPr>
                <w:rFonts w:ascii="仿宋_GB2312" w:hAnsi="仿宋_GB2312" w:cs="仿宋_GB2312" w:eastAsia="仿宋_GB2312"/>
              </w:rPr>
              <w:t>5、植保无人机（2台）</w:t>
            </w:r>
          </w:p>
          <w:p>
            <w:pPr>
              <w:pStyle w:val="null3"/>
            </w:pPr>
            <w:r>
              <w:rPr>
                <w:rFonts w:ascii="仿宋_GB2312" w:hAnsi="仿宋_GB2312" w:cs="仿宋_GB2312" w:eastAsia="仿宋_GB2312"/>
              </w:rPr>
              <w:t>（1）药液箱额定容量：≥70L</w:t>
            </w:r>
          </w:p>
          <w:p>
            <w:pPr>
              <w:pStyle w:val="null3"/>
            </w:pPr>
            <w:r>
              <w:rPr>
                <w:rFonts w:ascii="仿宋_GB2312" w:hAnsi="仿宋_GB2312" w:cs="仿宋_GB2312" w:eastAsia="仿宋_GB2312"/>
              </w:rPr>
              <w:t>（2）旋翼数量：≥4</w:t>
            </w:r>
          </w:p>
          <w:p>
            <w:pPr>
              <w:pStyle w:val="null3"/>
            </w:pPr>
            <w:r>
              <w:rPr>
                <w:rFonts w:ascii="仿宋_GB2312" w:hAnsi="仿宋_GB2312" w:cs="仿宋_GB2312" w:eastAsia="仿宋_GB2312"/>
              </w:rPr>
              <w:t>（3）电池容量：≥41000mAh</w:t>
            </w:r>
          </w:p>
          <w:p>
            <w:pPr>
              <w:pStyle w:val="null3"/>
            </w:pPr>
            <w:r>
              <w:rPr>
                <w:rFonts w:ascii="仿宋_GB2312" w:hAnsi="仿宋_GB2312" w:cs="仿宋_GB2312" w:eastAsia="仿宋_GB2312"/>
              </w:rPr>
              <w:t>（4）主旋翼直径：≥1570mm</w:t>
            </w:r>
          </w:p>
          <w:p>
            <w:pPr>
              <w:pStyle w:val="null3"/>
            </w:pPr>
            <w:r>
              <w:rPr>
                <w:rFonts w:ascii="仿宋_GB2312" w:hAnsi="仿宋_GB2312" w:cs="仿宋_GB2312" w:eastAsia="仿宋_GB2312"/>
              </w:rPr>
              <w:t>（5）喷杆长度：≥1870mm</w:t>
            </w:r>
          </w:p>
          <w:p>
            <w:pPr>
              <w:pStyle w:val="null3"/>
            </w:pPr>
            <w:r>
              <w:rPr>
                <w:rFonts w:ascii="仿宋_GB2312" w:hAnsi="仿宋_GB2312" w:cs="仿宋_GB2312" w:eastAsia="仿宋_GB2312"/>
              </w:rPr>
              <w:t>（6）单电动机额定功率：≥4400w</w:t>
            </w:r>
          </w:p>
          <w:p>
            <w:pPr>
              <w:pStyle w:val="null3"/>
            </w:pPr>
            <w:r>
              <w:rPr>
                <w:rFonts w:ascii="仿宋_GB2312" w:hAnsi="仿宋_GB2312" w:cs="仿宋_GB2312" w:eastAsia="仿宋_GB2312"/>
              </w:rPr>
              <w:t>6、植保无人机（1台）</w:t>
            </w:r>
          </w:p>
          <w:p>
            <w:pPr>
              <w:pStyle w:val="null3"/>
            </w:pPr>
            <w:r>
              <w:rPr>
                <w:rFonts w:ascii="仿宋_GB2312" w:hAnsi="仿宋_GB2312" w:cs="仿宋_GB2312" w:eastAsia="仿宋_GB2312"/>
              </w:rPr>
              <w:t>（1）药液箱额定容量：≥50L</w:t>
            </w:r>
          </w:p>
          <w:p>
            <w:pPr>
              <w:pStyle w:val="null3"/>
            </w:pPr>
            <w:r>
              <w:rPr>
                <w:rFonts w:ascii="仿宋_GB2312" w:hAnsi="仿宋_GB2312" w:cs="仿宋_GB2312" w:eastAsia="仿宋_GB2312"/>
              </w:rPr>
              <w:t>（2）旋翼数量：≥4</w:t>
            </w:r>
          </w:p>
          <w:p>
            <w:pPr>
              <w:pStyle w:val="null3"/>
            </w:pPr>
            <w:r>
              <w:rPr>
                <w:rFonts w:ascii="仿宋_GB2312" w:hAnsi="仿宋_GB2312" w:cs="仿宋_GB2312" w:eastAsia="仿宋_GB2312"/>
              </w:rPr>
              <w:t>（3）电池容量：≥30000mAh</w:t>
            </w:r>
          </w:p>
          <w:p>
            <w:pPr>
              <w:pStyle w:val="null3"/>
            </w:pPr>
            <w:r>
              <w:rPr>
                <w:rFonts w:ascii="仿宋_GB2312" w:hAnsi="仿宋_GB2312" w:cs="仿宋_GB2312" w:eastAsia="仿宋_GB2312"/>
              </w:rPr>
              <w:t>（4）主旋翼直径：≥1570mm</w:t>
            </w:r>
          </w:p>
          <w:p>
            <w:pPr>
              <w:pStyle w:val="null3"/>
            </w:pPr>
            <w:r>
              <w:rPr>
                <w:rFonts w:ascii="仿宋_GB2312" w:hAnsi="仿宋_GB2312" w:cs="仿宋_GB2312" w:eastAsia="仿宋_GB2312"/>
              </w:rPr>
              <w:t>（5）喷杆长度：≥1870mm</w:t>
            </w:r>
          </w:p>
          <w:p>
            <w:pPr>
              <w:pStyle w:val="null3"/>
            </w:pPr>
            <w:r>
              <w:rPr>
                <w:rFonts w:ascii="仿宋_GB2312" w:hAnsi="仿宋_GB2312" w:cs="仿宋_GB2312" w:eastAsia="仿宋_GB2312"/>
              </w:rPr>
              <w:t>（6）单电动机额定功率：≥4400w</w:t>
            </w:r>
          </w:p>
          <w:p>
            <w:pPr>
              <w:pStyle w:val="null3"/>
            </w:pPr>
            <w:r>
              <w:rPr>
                <w:rFonts w:ascii="仿宋_GB2312" w:hAnsi="仿宋_GB2312" w:cs="仿宋_GB2312" w:eastAsia="仿宋_GB2312"/>
              </w:rPr>
              <w:t>7、自走式喷杆喷雾机主要参数（3台）</w:t>
            </w:r>
          </w:p>
          <w:p>
            <w:pPr>
              <w:pStyle w:val="null3"/>
            </w:pPr>
            <w:r>
              <w:rPr>
                <w:rFonts w:ascii="仿宋_GB2312" w:hAnsi="仿宋_GB2312" w:cs="仿宋_GB2312" w:eastAsia="仿宋_GB2312"/>
              </w:rPr>
              <w:t>（1）功率：≥50w</w:t>
            </w:r>
          </w:p>
          <w:p>
            <w:pPr>
              <w:pStyle w:val="null3"/>
            </w:pPr>
            <w:r>
              <w:rPr>
                <w:rFonts w:ascii="仿宋_GB2312" w:hAnsi="仿宋_GB2312" w:cs="仿宋_GB2312" w:eastAsia="仿宋_GB2312"/>
              </w:rPr>
              <w:t>（2）药箱容量：≥1000L</w:t>
            </w:r>
          </w:p>
          <w:p>
            <w:pPr>
              <w:pStyle w:val="null3"/>
            </w:pPr>
            <w:r>
              <w:rPr>
                <w:rFonts w:ascii="仿宋_GB2312" w:hAnsi="仿宋_GB2312" w:cs="仿宋_GB2312" w:eastAsia="仿宋_GB2312"/>
              </w:rPr>
              <w:t>（3）喷杆长度：≥10000mm</w:t>
            </w:r>
          </w:p>
          <w:p>
            <w:pPr>
              <w:pStyle w:val="null3"/>
            </w:pPr>
            <w:r>
              <w:rPr>
                <w:rFonts w:ascii="仿宋_GB2312" w:hAnsi="仿宋_GB2312" w:cs="仿宋_GB2312" w:eastAsia="仿宋_GB2312"/>
              </w:rPr>
              <w:t>（4）离地间隙：≥930mm</w:t>
            </w:r>
          </w:p>
          <w:p>
            <w:pPr>
              <w:pStyle w:val="null3"/>
            </w:pPr>
            <w:r>
              <w:rPr>
                <w:rFonts w:ascii="仿宋_GB2312" w:hAnsi="仿宋_GB2312" w:cs="仿宋_GB2312" w:eastAsia="仿宋_GB2312"/>
              </w:rPr>
              <w:t>（5）驱动方式：四轮驱动</w:t>
            </w:r>
          </w:p>
          <w:p>
            <w:pPr>
              <w:pStyle w:val="null3"/>
            </w:pPr>
            <w:r>
              <w:rPr>
                <w:rFonts w:ascii="仿宋_GB2312" w:hAnsi="仿宋_GB2312" w:cs="仿宋_GB2312" w:eastAsia="仿宋_GB2312"/>
              </w:rPr>
              <w:t>（6）转向方式：四轮转向</w:t>
            </w:r>
          </w:p>
          <w:p>
            <w:pPr>
              <w:pStyle w:val="null3"/>
            </w:pPr>
            <w:r>
              <w:rPr>
                <w:rFonts w:ascii="仿宋_GB2312" w:hAnsi="仿宋_GB2312" w:cs="仿宋_GB2312" w:eastAsia="仿宋_GB2312"/>
              </w:rPr>
              <w:t>（7）轴距：≥2300mm</w:t>
            </w:r>
          </w:p>
          <w:p>
            <w:pPr>
              <w:pStyle w:val="null3"/>
            </w:pPr>
            <w:r>
              <w:rPr>
                <w:rFonts w:ascii="仿宋_GB2312" w:hAnsi="仿宋_GB2312" w:cs="仿宋_GB2312" w:eastAsia="仿宋_GB2312"/>
              </w:rPr>
              <w:t>8、旋耕机主要参数（1台）</w:t>
            </w:r>
          </w:p>
          <w:p>
            <w:pPr>
              <w:pStyle w:val="null3"/>
            </w:pPr>
            <w:r>
              <w:rPr>
                <w:rFonts w:ascii="仿宋_GB2312" w:hAnsi="仿宋_GB2312" w:cs="仿宋_GB2312" w:eastAsia="仿宋_GB2312"/>
              </w:rPr>
              <w:t>（1）作业速度：≥0.5m/s</w:t>
            </w:r>
          </w:p>
          <w:p>
            <w:pPr>
              <w:pStyle w:val="null3"/>
            </w:pPr>
            <w:r>
              <w:rPr>
                <w:rFonts w:ascii="仿宋_GB2312" w:hAnsi="仿宋_GB2312" w:cs="仿宋_GB2312" w:eastAsia="仿宋_GB2312"/>
              </w:rPr>
              <w:t>（2）工作幅宽：≥230cm</w:t>
            </w:r>
          </w:p>
          <w:p>
            <w:pPr>
              <w:pStyle w:val="null3"/>
            </w:pPr>
            <w:r>
              <w:rPr>
                <w:rFonts w:ascii="仿宋_GB2312" w:hAnsi="仿宋_GB2312" w:cs="仿宋_GB2312" w:eastAsia="仿宋_GB2312"/>
              </w:rPr>
              <w:t>9、旋耕机主要参数（1台）</w:t>
            </w:r>
          </w:p>
          <w:p>
            <w:pPr>
              <w:pStyle w:val="null3"/>
            </w:pPr>
            <w:r>
              <w:rPr>
                <w:rFonts w:ascii="仿宋_GB2312" w:hAnsi="仿宋_GB2312" w:cs="仿宋_GB2312" w:eastAsia="仿宋_GB2312"/>
              </w:rPr>
              <w:t>（1）作业速度：≥0.5m/s</w:t>
            </w:r>
          </w:p>
          <w:p>
            <w:pPr>
              <w:pStyle w:val="null3"/>
            </w:pPr>
            <w:r>
              <w:rPr>
                <w:rFonts w:ascii="仿宋_GB2312" w:hAnsi="仿宋_GB2312" w:cs="仿宋_GB2312" w:eastAsia="仿宋_GB2312"/>
              </w:rPr>
              <w:t>（2）工作幅宽：≥250cm</w:t>
            </w:r>
          </w:p>
          <w:p>
            <w:pPr>
              <w:pStyle w:val="null3"/>
            </w:pPr>
            <w:r>
              <w:rPr>
                <w:rFonts w:ascii="仿宋_GB2312" w:hAnsi="仿宋_GB2312" w:cs="仿宋_GB2312" w:eastAsia="仿宋_GB2312"/>
              </w:rPr>
              <w:t>10、还田机主要参数（3台）</w:t>
            </w:r>
          </w:p>
          <w:p>
            <w:pPr>
              <w:pStyle w:val="null3"/>
            </w:pPr>
            <w:r>
              <w:rPr>
                <w:rFonts w:ascii="仿宋_GB2312" w:hAnsi="仿宋_GB2312" w:cs="仿宋_GB2312" w:eastAsia="仿宋_GB2312"/>
              </w:rPr>
              <w:t>（1）配套动力：≥80kw</w:t>
            </w:r>
          </w:p>
          <w:p>
            <w:pPr>
              <w:pStyle w:val="null3"/>
            </w:pPr>
            <w:r>
              <w:rPr>
                <w:rFonts w:ascii="仿宋_GB2312" w:hAnsi="仿宋_GB2312" w:cs="仿宋_GB2312" w:eastAsia="仿宋_GB2312"/>
              </w:rPr>
              <w:t>（2）工作幅宽：≥230cm</w:t>
            </w:r>
          </w:p>
          <w:p>
            <w:pPr>
              <w:pStyle w:val="null3"/>
            </w:pPr>
            <w:r>
              <w:rPr>
                <w:rFonts w:ascii="仿宋_GB2312" w:hAnsi="仿宋_GB2312" w:cs="仿宋_GB2312" w:eastAsia="仿宋_GB2312"/>
              </w:rPr>
              <w:t>11、电视机主要参数（3台）</w:t>
            </w:r>
          </w:p>
          <w:p>
            <w:pPr>
              <w:pStyle w:val="null3"/>
            </w:pPr>
            <w:r>
              <w:rPr>
                <w:rFonts w:ascii="仿宋_GB2312" w:hAnsi="仿宋_GB2312" w:cs="仿宋_GB2312" w:eastAsia="仿宋_GB2312"/>
              </w:rPr>
              <w:t>（1）屏幕尺寸：≥85英寸</w:t>
            </w:r>
          </w:p>
          <w:p>
            <w:pPr>
              <w:pStyle w:val="null3"/>
            </w:pPr>
            <w:r>
              <w:rPr>
                <w:rFonts w:ascii="仿宋_GB2312" w:hAnsi="仿宋_GB2312" w:cs="仿宋_GB2312" w:eastAsia="仿宋_GB2312"/>
              </w:rPr>
              <w:t>（2）音响功率：≥30w</w:t>
            </w:r>
          </w:p>
          <w:p>
            <w:pPr>
              <w:pStyle w:val="null3"/>
            </w:pPr>
            <w:r>
              <w:rPr>
                <w:rFonts w:ascii="仿宋_GB2312" w:hAnsi="仿宋_GB2312" w:cs="仿宋_GB2312" w:eastAsia="仿宋_GB2312"/>
              </w:rPr>
              <w:t>（3）工作电压：220v</w:t>
            </w:r>
          </w:p>
          <w:p>
            <w:pPr>
              <w:pStyle w:val="null3"/>
            </w:pPr>
            <w:r>
              <w:rPr>
                <w:rFonts w:ascii="仿宋_GB2312" w:hAnsi="仿宋_GB2312" w:cs="仿宋_GB2312" w:eastAsia="仿宋_GB2312"/>
              </w:rPr>
              <w:t>（4）屏占比：≥97%</w:t>
            </w:r>
          </w:p>
          <w:p>
            <w:pPr>
              <w:pStyle w:val="null3"/>
            </w:pPr>
            <w:r>
              <w:rPr>
                <w:rFonts w:ascii="仿宋_GB2312" w:hAnsi="仿宋_GB2312" w:cs="仿宋_GB2312" w:eastAsia="仿宋_GB2312"/>
              </w:rPr>
              <w:t>（5）存储内存：≥64GB</w:t>
            </w:r>
          </w:p>
          <w:p>
            <w:pPr>
              <w:pStyle w:val="null3"/>
            </w:pPr>
            <w:r>
              <w:rPr>
                <w:rFonts w:ascii="仿宋_GB2312" w:hAnsi="仿宋_GB2312" w:cs="仿宋_GB2312" w:eastAsia="仿宋_GB2312"/>
              </w:rPr>
              <w:t>12、投影仪（3台）</w:t>
            </w:r>
          </w:p>
          <w:p>
            <w:pPr>
              <w:pStyle w:val="null3"/>
            </w:pPr>
            <w:r>
              <w:rPr>
                <w:rFonts w:ascii="仿宋_GB2312" w:hAnsi="仿宋_GB2312" w:cs="仿宋_GB2312" w:eastAsia="仿宋_GB2312"/>
              </w:rPr>
              <w:t>（1）投射尺寸：≥30-130英寸</w:t>
            </w:r>
          </w:p>
          <w:p>
            <w:pPr>
              <w:pStyle w:val="null3"/>
            </w:pPr>
            <w:r>
              <w:rPr>
                <w:rFonts w:ascii="仿宋_GB2312" w:hAnsi="仿宋_GB2312" w:cs="仿宋_GB2312" w:eastAsia="仿宋_GB2312"/>
              </w:rPr>
              <w:t>（2）投射比例：16:9</w:t>
            </w:r>
          </w:p>
          <w:p>
            <w:pPr>
              <w:pStyle w:val="null3"/>
            </w:pPr>
            <w:r>
              <w:rPr>
                <w:rFonts w:ascii="仿宋_GB2312" w:hAnsi="仿宋_GB2312" w:cs="仿宋_GB2312" w:eastAsia="仿宋_GB2312"/>
              </w:rPr>
              <w:t>（3）分辨率：≥1920*1080</w:t>
            </w:r>
          </w:p>
          <w:p>
            <w:pPr>
              <w:pStyle w:val="null3"/>
            </w:pPr>
            <w:r>
              <w:rPr>
                <w:rFonts w:ascii="仿宋_GB2312" w:hAnsi="仿宋_GB2312" w:cs="仿宋_GB2312" w:eastAsia="仿宋_GB2312"/>
              </w:rPr>
              <w:t>（4）建议投影距离：≥2m</w:t>
            </w:r>
          </w:p>
          <w:p>
            <w:pPr>
              <w:pStyle w:val="null3"/>
            </w:pPr>
            <w:r>
              <w:rPr>
                <w:rFonts w:ascii="仿宋_GB2312" w:hAnsi="仿宋_GB2312" w:cs="仿宋_GB2312" w:eastAsia="仿宋_GB2312"/>
              </w:rPr>
              <w:t>（5）整机功率：≥120w</w:t>
            </w:r>
          </w:p>
          <w:p>
            <w:pPr>
              <w:pStyle w:val="null3"/>
            </w:pPr>
            <w:r>
              <w:rPr>
                <w:rFonts w:ascii="仿宋_GB2312" w:hAnsi="仿宋_GB2312" w:cs="仿宋_GB2312" w:eastAsia="仿宋_GB2312"/>
              </w:rPr>
              <w:t>13、桌椅主要参数（90套）</w:t>
            </w:r>
          </w:p>
          <w:p>
            <w:pPr>
              <w:pStyle w:val="null3"/>
            </w:pPr>
            <w:r>
              <w:rPr>
                <w:rFonts w:ascii="仿宋_GB2312" w:hAnsi="仿宋_GB2312" w:cs="仿宋_GB2312" w:eastAsia="仿宋_GB2312"/>
              </w:rPr>
              <w:t>桌子：（1）尺寸：1200*400*750mm</w:t>
            </w:r>
          </w:p>
          <w:p>
            <w:pPr>
              <w:pStyle w:val="null3"/>
            </w:pPr>
            <w:r>
              <w:rPr>
                <w:rFonts w:ascii="仿宋_GB2312" w:hAnsi="仿宋_GB2312" w:cs="仿宋_GB2312" w:eastAsia="仿宋_GB2312"/>
              </w:rPr>
              <w:t>（2）材质：实木板（仿木板）</w:t>
            </w:r>
          </w:p>
          <w:p>
            <w:pPr>
              <w:pStyle w:val="null3"/>
            </w:pPr>
            <w:r>
              <w:rPr>
                <w:rFonts w:ascii="仿宋_GB2312" w:hAnsi="仿宋_GB2312" w:cs="仿宋_GB2312" w:eastAsia="仿宋_GB2312"/>
              </w:rPr>
              <w:t>（3）规格：条桌</w:t>
            </w:r>
          </w:p>
          <w:p>
            <w:pPr>
              <w:pStyle w:val="null3"/>
            </w:pPr>
            <w:r>
              <w:rPr>
                <w:rFonts w:ascii="仿宋_GB2312" w:hAnsi="仿宋_GB2312" w:cs="仿宋_GB2312" w:eastAsia="仿宋_GB2312"/>
              </w:rPr>
              <w:t>椅子：（1）尺寸：540*500*920mm</w:t>
            </w:r>
          </w:p>
          <w:p>
            <w:pPr>
              <w:pStyle w:val="null3"/>
            </w:pPr>
            <w:r>
              <w:rPr>
                <w:rFonts w:ascii="仿宋_GB2312" w:hAnsi="仿宋_GB2312" w:cs="仿宋_GB2312" w:eastAsia="仿宋_GB2312"/>
              </w:rPr>
              <w:t>（2）材质：透气网面座椅</w:t>
            </w:r>
          </w:p>
          <w:p>
            <w:pPr>
              <w:pStyle w:val="null3"/>
            </w:pPr>
            <w:r>
              <w:rPr>
                <w:rFonts w:ascii="仿宋_GB2312" w:hAnsi="仿宋_GB2312" w:cs="仿宋_GB2312" w:eastAsia="仿宋_GB2312"/>
              </w:rPr>
              <w:t>（3）规格：弓架椅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合同签订后到货调试且验收合格后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自项目实施之日起至项目结束。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试点应用工作，投标人需要在线提交所有通过电子化交易平台实施的政府采购项目的投标文件，同时，线下提交投标文件正本壹份、副本贰份、电子版壹份(U盘或光盘，标明投标人名称，随正本密封)。若电子投标文件与纸质投标文件不一致的，以电子投标文件为准。 线下递交文件截止时间：在开标时间截止之前；线下递交文件地点：陕西省西安市经济技术开发区凤城八路158号20幢1单元6楼609室。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提供合格有效的法人或者其他组织的营业执照等证明文件，自然人的身份证明；投标人是法人或其他组织的应提供营业执照等证明文件，投标人是自然人的应提供有效的自然人身份证明；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提供投标截止日前6个月内已缴纳的至少一个月的纳税证明或完税证明（增值税或印花税等税种），依法免税的单位应提供相关证明材料；</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投标人名称与营业执照等资料相一致</w:t>
            </w:r>
          </w:p>
        </w:tc>
        <w:tc>
          <w:tcPr>
            <w:tcW w:type="dxa" w:w="1661"/>
          </w:tcPr>
          <w:p>
            <w:pPr>
              <w:pStyle w:val="null3"/>
            </w:pPr>
            <w:r>
              <w:rPr>
                <w:rFonts w:ascii="仿宋_GB2312" w:hAnsi="仿宋_GB2312" w:cs="仿宋_GB2312" w:eastAsia="仿宋_GB2312"/>
              </w:rPr>
              <w:t>开标一览表 投标人资格要求.docx 业绩.docx 培训方案.docx 中小企业声明函 商务应答表 质量保证.docx 项目实施方案.docx 履约能力.docx 产品技术参数表 投标函 售后服务.docx 残疾人福利性单位声明函 标的清单 投标文件封面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按照采购文件要求签字盖章</w:t>
            </w:r>
          </w:p>
        </w:tc>
        <w:tc>
          <w:tcPr>
            <w:tcW w:type="dxa" w:w="1661"/>
          </w:tcPr>
          <w:p>
            <w:pPr>
              <w:pStyle w:val="null3"/>
            </w:pPr>
            <w:r>
              <w:rPr>
                <w:rFonts w:ascii="仿宋_GB2312" w:hAnsi="仿宋_GB2312" w:cs="仿宋_GB2312" w:eastAsia="仿宋_GB2312"/>
              </w:rPr>
              <w:t>开标一览表 投标人资格要求.docx 业绩.docx 培训方案.docx 中小企业声明函 商务应答表 质量保证.docx 项目实施方案.docx 履约能力.docx 产品技术参数表 投标函 售后服务.docx 残疾人福利性单位声明函 标的清单 投标文件封面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交货期、投标有效期等符合采购文件要求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按照采购文件要求缴纳</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报价唯一且未超过预算金额</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完全理解并接受法律法规和采购文件对供应商合法经营的各类规约和责任义务要求，未出现法律、法规或采购文件规定的其他无效情形的。</w:t>
            </w:r>
          </w:p>
        </w:tc>
        <w:tc>
          <w:tcPr>
            <w:tcW w:type="dxa" w:w="1661"/>
          </w:tcPr>
          <w:p>
            <w:pPr>
              <w:pStyle w:val="null3"/>
            </w:pPr>
            <w:r>
              <w:rPr>
                <w:rFonts w:ascii="仿宋_GB2312" w:hAnsi="仿宋_GB2312" w:cs="仿宋_GB2312" w:eastAsia="仿宋_GB2312"/>
              </w:rPr>
              <w:t>开标一览表 投标人资格要求.docx 业绩.docx 培训方案.docx 中小企业声明函 商务应答表 质量保证.docx 项目实施方案.docx 履约能力.docx 产品技术参数表 投标函 售后服务.docx 残疾人福利性单位声明函 标的清单 投标文件封面 监狱企业的证明文件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所投产品参数全部满足招标文件参数得15分，主要技术指标不满足（负偏离）每项扣0.5分，扣完为止。（以技术偏离表或技术指标为准）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针对本项目提供具体完整的实施方案（包括但不限于①设备供货进度计划②安装计划③安全保证④组织架构⑤运输工具⑥技术人员配备⑦管理水平等方面）进行评审： 项目实施方案完整，完全包含以上七项且满足实际工作需求，每一项内容描述详细内容全面得10分，每缺少一项扣1.5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完整的质量保证（包括但不限于①所投产品销售协议②所投产品代理协议③所投产品原厂授权④有足够的设计、工艺、加工、检验能力⑤所投产品符合国际、国内相关标准⑥有具体可行的质量保证承诺⑦保证使用单位能熟练操作维护和正常使用等方面）进行评审： 质量保证完整，完全包含以上七项且满足实际工作需求，每一项内容描述详细内容全面得 10分，每缺少一项扣1.5分，每有一项缺陷(缺陷是指不适用项目实际情况、凭空编造、存在逻辑洞、科学原理错误、不可能实现的夸大情形以及涉及的规范、标准与本项目要求不一致等)扣1分，扣完为止。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针对本项目提供具体完整的履约能力（包括但不限于①安装及运维人员②仓储设施③运输工具④人员素质⑤管理水平等方面）进行评审： 履约能力完整，完全包含以上五项且满足实际工作需求，每一项内容描述详细内容全面得10分，每缺少一项扣2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针对本项目提供具体完整的培训方案（包括但不限于①培训方式②培训时间③培训地点④培训人员⑤培训内容等方面）进行评审： 培训方案完整，完全包含以上五项且满足实际工作需求，每一项内容描述详细内容全面得10分，每缺少一项扣2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具体完整的售后服务方案（包括但不限于①售后服务网点的设定②拟投入售后服务人员配置情况③日常维护④项目交付用户后出现故障响应时间及措施⑤备品备件计划⑥质量保证范围⑦至少1人驻场等方面）进行评审： 售后服务完整，完全包含以上七项且满足实际工作需求，每一项内容描述详细内容全面得 10分，每缺少一项扣1.5分，每有一项缺陷(缺陷是指不适用项目实际情况、凭空编造、存在逻辑洞、科学原理错误、不可能实现的夸大情形以及涉及的规范、标准与本项目要求不一致等)扣1分，扣完为止。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提供2022年1月1日以来类似项目业绩（以合同签订日期为准，并以加盖供应商公章的合同关键页复印件为计分依据），每份合格业绩合同计2.5分，满分5分。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详见附件：投标人资格要求.docx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