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D8C08">
      <w:pPr>
        <w:pStyle w:val="3"/>
        <w:bidi w:val="0"/>
        <w:spacing w:line="360" w:lineRule="auto"/>
        <w:rPr>
          <w:rFonts w:hint="eastAsia"/>
        </w:rPr>
      </w:pPr>
      <w:r>
        <w:rPr>
          <w:rFonts w:hint="eastAsia"/>
          <w:lang w:val="en-US" w:eastAsia="zh-CN"/>
        </w:rPr>
        <w:t>合同条款（草案）</w:t>
      </w:r>
    </w:p>
    <w:p w14:paraId="68986AE9">
      <w:pPr>
        <w:pStyle w:val="12"/>
        <w:spacing w:before="240" w:beforeLines="100" w:line="360" w:lineRule="auto"/>
        <w:ind w:firstLine="420"/>
        <w:rPr>
          <w:rFonts w:hint="eastAsia" w:ascii="宋体" w:hAnsi="宋体"/>
          <w:bCs/>
          <w:color w:val="auto"/>
          <w:sz w:val="24"/>
          <w:szCs w:val="24"/>
          <w:highlight w:val="none"/>
        </w:rPr>
      </w:pPr>
      <w:bookmarkStart w:id="0" w:name="_Toc532895264"/>
      <w:r>
        <w:rPr>
          <w:rFonts w:hint="eastAsia" w:ascii="宋体" w:hAnsi="宋体"/>
          <w:bCs/>
          <w:color w:val="auto"/>
          <w:sz w:val="24"/>
          <w:szCs w:val="24"/>
          <w:highlight w:val="none"/>
        </w:rPr>
        <w:t xml:space="preserve">合同编号： </w:t>
      </w:r>
    </w:p>
    <w:p w14:paraId="4CC8F5BF">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 xml:space="preserve">签订地点： </w:t>
      </w:r>
    </w:p>
    <w:p w14:paraId="7657DAF4">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签订时间：</w:t>
      </w:r>
    </w:p>
    <w:p w14:paraId="15C99608">
      <w:pPr>
        <w:pStyle w:val="12"/>
        <w:spacing w:line="360" w:lineRule="auto"/>
        <w:ind w:firstLine="420"/>
        <w:rPr>
          <w:rFonts w:hint="eastAsia" w:ascii="宋体" w:hAnsi="宋体"/>
          <w:bCs/>
          <w:color w:val="auto"/>
          <w:sz w:val="24"/>
          <w:szCs w:val="24"/>
          <w:highlight w:val="none"/>
        </w:rPr>
      </w:pPr>
    </w:p>
    <w:p w14:paraId="238054AC">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采购人（甲方）：</w:t>
      </w:r>
    </w:p>
    <w:p w14:paraId="72360173">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供应商（乙方）：</w:t>
      </w:r>
    </w:p>
    <w:p w14:paraId="3C52D5E4">
      <w:pPr>
        <w:pStyle w:val="12"/>
        <w:spacing w:before="120" w:beforeLines="50"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根据《中华人民共和国政府采购法》及实施条例、《中华人民共和国民法典》和甲方</w:t>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u w:val="single"/>
          <w:lang w:val="en-US" w:eastAsia="zh-CN"/>
        </w:rPr>
        <w:t xml:space="preserve">   （项目名称）</w:t>
      </w:r>
      <w:r>
        <w:rPr>
          <w:rFonts w:hint="eastAsia" w:ascii="宋体" w:hAnsi="宋体"/>
          <w:bCs/>
          <w:color w:val="auto"/>
          <w:sz w:val="24"/>
          <w:szCs w:val="24"/>
          <w:highlight w:val="none"/>
          <w:u w:val="single"/>
        </w:rPr>
        <w:t xml:space="preserve"> （项目编号：</w:t>
      </w:r>
      <w:r>
        <w:rPr>
          <w:rFonts w:hint="eastAsia" w:ascii="宋体" w:hAnsi="宋体"/>
          <w:bCs/>
          <w:color w:val="auto"/>
          <w:sz w:val="24"/>
          <w:szCs w:val="24"/>
          <w:highlight w:val="none"/>
          <w:u w:val="single"/>
          <w:lang w:val="en-US" w:eastAsia="zh-CN"/>
        </w:rPr>
        <w:t xml:space="preserve">     </w:t>
      </w:r>
      <w:r>
        <w:rPr>
          <w:rFonts w:hint="eastAsia" w:ascii="宋体" w:hAnsi="宋体"/>
          <w:bCs/>
          <w:color w:val="auto"/>
          <w:sz w:val="24"/>
          <w:szCs w:val="24"/>
          <w:highlight w:val="none"/>
          <w:u w:val="single"/>
        </w:rPr>
        <w:t>）</w:t>
      </w:r>
      <w:r>
        <w:rPr>
          <w:rFonts w:hint="eastAsia" w:ascii="宋体" w:hAnsi="宋体"/>
          <w:bCs/>
          <w:color w:val="auto"/>
          <w:sz w:val="24"/>
          <w:szCs w:val="24"/>
          <w:highlight w:val="none"/>
        </w:rPr>
        <w:t>的</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文件等有关规定，为确保甲方采购项目的顺利实施，甲、乙双方在平等自愿原则下签订本合同，并共同遵守如下条款：</w:t>
      </w:r>
    </w:p>
    <w:p w14:paraId="648836B3">
      <w:pPr>
        <w:pStyle w:val="12"/>
        <w:spacing w:before="120" w:beforeLines="50" w:after="120" w:afterLines="50" w:line="360" w:lineRule="auto"/>
        <w:ind w:firstLine="398" w:firstLineChars="166"/>
        <w:jc w:val="left"/>
        <w:rPr>
          <w:rFonts w:hint="eastAsia" w:ascii="Times New Roman" w:hAnsi="Times New Roman" w:eastAsia="宋体" w:cs="Times New Roman"/>
          <w:bCs/>
          <w:color w:val="auto"/>
          <w:kern w:val="2"/>
          <w:sz w:val="24"/>
          <w:szCs w:val="24"/>
          <w:highlight w:val="none"/>
          <w:lang w:val="en-US" w:eastAsia="zh-CN" w:bidi="ar-SA"/>
        </w:rPr>
      </w:pPr>
      <w:bookmarkStart w:id="1" w:name="_Toc15333_WPSOffice_Level2"/>
      <w:r>
        <w:rPr>
          <w:rFonts w:hint="eastAsia" w:ascii="Times New Roman" w:hAnsi="Times New Roman" w:eastAsia="宋体" w:cs="Times New Roman"/>
          <w:bCs/>
          <w:color w:val="auto"/>
          <w:kern w:val="2"/>
          <w:sz w:val="24"/>
          <w:szCs w:val="24"/>
          <w:highlight w:val="none"/>
          <w:lang w:val="en-US" w:eastAsia="zh-CN" w:bidi="ar-SA"/>
        </w:rPr>
        <w:t>第一条 合同标的及数量</w:t>
      </w:r>
      <w:bookmarkEnd w:id="1"/>
    </w:p>
    <w:p w14:paraId="36BE264F">
      <w:pPr>
        <w:pStyle w:val="12"/>
        <w:spacing w:before="120" w:beforeLines="50" w:line="360" w:lineRule="auto"/>
        <w:ind w:firstLine="600" w:firstLineChars="250"/>
        <w:rPr>
          <w:rFonts w:hint="eastAsia" w:ascii="宋体" w:hAnsi="宋体"/>
          <w:bCs/>
          <w:color w:val="auto"/>
          <w:sz w:val="24"/>
          <w:szCs w:val="24"/>
          <w:highlight w:val="none"/>
        </w:rPr>
      </w:pPr>
      <w:r>
        <w:rPr>
          <w:rFonts w:hint="eastAsia"/>
          <w:bCs/>
          <w:color w:val="auto"/>
          <w:sz w:val="24"/>
          <w:szCs w:val="24"/>
          <w:highlight w:val="none"/>
        </w:rPr>
        <w:t>乙方向甲方提供下列货物（产品）：</w:t>
      </w:r>
    </w:p>
    <w:p w14:paraId="296677C1">
      <w:pPr>
        <w:pStyle w:val="12"/>
        <w:spacing w:before="120" w:beforeLines="50" w:after="120" w:afterLines="50" w:line="360" w:lineRule="auto"/>
        <w:ind w:firstLine="398" w:firstLineChars="166"/>
        <w:jc w:val="center"/>
        <w:rPr>
          <w:rFonts w:hint="eastAsia" w:ascii="Times New Roman" w:hAnsi="Times New Roman" w:eastAsia="宋体" w:cs="Times New Roman"/>
          <w:bCs/>
          <w:color w:val="auto"/>
          <w:kern w:val="2"/>
          <w:sz w:val="24"/>
          <w:szCs w:val="24"/>
          <w:highlight w:val="none"/>
          <w:lang w:val="en-US" w:eastAsia="zh-CN" w:bidi="ar-SA"/>
        </w:rPr>
      </w:pPr>
      <w:bookmarkStart w:id="2" w:name="_Toc7254_WPSOffice_Level2"/>
      <w:r>
        <w:rPr>
          <w:rFonts w:hint="eastAsia" w:ascii="Times New Roman" w:hAnsi="Times New Roman" w:eastAsia="宋体" w:cs="Times New Roman"/>
          <w:bCs/>
          <w:color w:val="auto"/>
          <w:kern w:val="2"/>
          <w:sz w:val="24"/>
          <w:szCs w:val="24"/>
          <w:highlight w:val="none"/>
          <w:lang w:val="en-US" w:eastAsia="zh-CN" w:bidi="ar-SA"/>
        </w:rPr>
        <w:t>供货一览表</w:t>
      </w:r>
      <w:bookmarkEnd w:id="2"/>
    </w:p>
    <w:tbl>
      <w:tblPr>
        <w:tblStyle w:val="9"/>
        <w:tblW w:w="93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945"/>
        <w:gridCol w:w="1106"/>
        <w:gridCol w:w="1769"/>
        <w:gridCol w:w="688"/>
        <w:gridCol w:w="550"/>
        <w:gridCol w:w="1199"/>
        <w:gridCol w:w="1417"/>
      </w:tblGrid>
      <w:tr w14:paraId="6DFDC0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69ECBB5E">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序号</w:t>
            </w:r>
          </w:p>
        </w:tc>
        <w:tc>
          <w:tcPr>
            <w:tcW w:w="1945" w:type="dxa"/>
            <w:noWrap w:val="0"/>
            <w:vAlign w:val="center"/>
          </w:tcPr>
          <w:p w14:paraId="61199C28">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产品名称</w:t>
            </w:r>
          </w:p>
        </w:tc>
        <w:tc>
          <w:tcPr>
            <w:tcW w:w="1106" w:type="dxa"/>
            <w:noWrap w:val="0"/>
            <w:vAlign w:val="center"/>
          </w:tcPr>
          <w:p w14:paraId="71B143E3">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品牌/商号</w:t>
            </w:r>
          </w:p>
        </w:tc>
        <w:tc>
          <w:tcPr>
            <w:tcW w:w="1769" w:type="dxa"/>
            <w:noWrap w:val="0"/>
            <w:vAlign w:val="center"/>
          </w:tcPr>
          <w:p w14:paraId="55CDA528">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型号规格</w:t>
            </w:r>
          </w:p>
        </w:tc>
        <w:tc>
          <w:tcPr>
            <w:tcW w:w="688" w:type="dxa"/>
            <w:noWrap w:val="0"/>
            <w:vAlign w:val="center"/>
          </w:tcPr>
          <w:p w14:paraId="1D5597A2">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计量单位</w:t>
            </w:r>
          </w:p>
        </w:tc>
        <w:tc>
          <w:tcPr>
            <w:tcW w:w="550" w:type="dxa"/>
            <w:noWrap w:val="0"/>
            <w:vAlign w:val="center"/>
          </w:tcPr>
          <w:p w14:paraId="280C9DBB">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数量</w:t>
            </w:r>
          </w:p>
        </w:tc>
        <w:tc>
          <w:tcPr>
            <w:tcW w:w="1199" w:type="dxa"/>
            <w:noWrap w:val="0"/>
            <w:vAlign w:val="center"/>
          </w:tcPr>
          <w:p w14:paraId="2D268870">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单价（元）</w:t>
            </w:r>
          </w:p>
        </w:tc>
        <w:tc>
          <w:tcPr>
            <w:tcW w:w="1417" w:type="dxa"/>
            <w:noWrap w:val="0"/>
            <w:vAlign w:val="center"/>
          </w:tcPr>
          <w:p w14:paraId="05F2E8E3">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金额 (元)</w:t>
            </w:r>
          </w:p>
        </w:tc>
      </w:tr>
      <w:tr w14:paraId="588E79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0131DF00">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6BFB8AAA">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1B4A5FD9">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4A52DB7B">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1B194632">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4969A23D">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6E16D497">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076DDA7C">
            <w:pPr>
              <w:pStyle w:val="5"/>
              <w:adjustRightInd w:val="0"/>
              <w:snapToGrid w:val="0"/>
              <w:spacing w:line="360" w:lineRule="auto"/>
              <w:ind w:firstLine="0"/>
              <w:jc w:val="center"/>
              <w:rPr>
                <w:rFonts w:hint="eastAsia" w:ascii="宋体" w:hAnsi="宋体"/>
                <w:bCs/>
                <w:color w:val="auto"/>
                <w:sz w:val="24"/>
                <w:szCs w:val="24"/>
                <w:highlight w:val="none"/>
              </w:rPr>
            </w:pPr>
          </w:p>
        </w:tc>
      </w:tr>
      <w:tr w14:paraId="07A41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2E18EA69">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74E9A4E8">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534B1C57">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33249BD9">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6D969FDA">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6305B07F">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47F19A82">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5F63FB5D">
            <w:pPr>
              <w:pStyle w:val="5"/>
              <w:adjustRightInd w:val="0"/>
              <w:snapToGrid w:val="0"/>
              <w:spacing w:line="360" w:lineRule="auto"/>
              <w:ind w:firstLine="0"/>
              <w:jc w:val="center"/>
              <w:rPr>
                <w:rFonts w:hint="eastAsia" w:ascii="宋体" w:hAnsi="宋体"/>
                <w:bCs/>
                <w:color w:val="auto"/>
                <w:sz w:val="24"/>
                <w:szCs w:val="24"/>
                <w:highlight w:val="none"/>
              </w:rPr>
            </w:pPr>
          </w:p>
        </w:tc>
      </w:tr>
      <w:tr w14:paraId="0B3D6D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292D5EF5">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4BD25835">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0479ECC5">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2BA842B6">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332024A7">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3382F44A">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2FA437BE">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6AAE32F1">
            <w:pPr>
              <w:pStyle w:val="5"/>
              <w:adjustRightInd w:val="0"/>
              <w:snapToGrid w:val="0"/>
              <w:spacing w:line="360" w:lineRule="auto"/>
              <w:ind w:firstLine="0"/>
              <w:jc w:val="center"/>
              <w:rPr>
                <w:rFonts w:hint="eastAsia" w:ascii="宋体" w:hAnsi="宋体"/>
                <w:bCs/>
                <w:color w:val="auto"/>
                <w:sz w:val="24"/>
                <w:szCs w:val="24"/>
                <w:highlight w:val="none"/>
              </w:rPr>
            </w:pPr>
          </w:p>
        </w:tc>
      </w:tr>
      <w:tr w14:paraId="4BB42B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7E4D9507">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4AB81FF2">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54465DAE">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792980A4">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72FC0DD0">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6914502F">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50CD2A85">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7F2DF850">
            <w:pPr>
              <w:pStyle w:val="5"/>
              <w:adjustRightInd w:val="0"/>
              <w:snapToGrid w:val="0"/>
              <w:spacing w:line="360" w:lineRule="auto"/>
              <w:ind w:firstLine="0"/>
              <w:jc w:val="center"/>
              <w:rPr>
                <w:rFonts w:hint="eastAsia" w:ascii="宋体" w:hAnsi="宋体"/>
                <w:bCs/>
                <w:color w:val="auto"/>
                <w:sz w:val="24"/>
                <w:szCs w:val="24"/>
                <w:highlight w:val="none"/>
              </w:rPr>
            </w:pPr>
          </w:p>
        </w:tc>
      </w:tr>
      <w:tr w14:paraId="59FEA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23FF53F5">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30B46922">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0EBB04AC">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014F682F">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13B92206">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66C20CFB">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039E8997">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56FC32CE">
            <w:pPr>
              <w:pStyle w:val="5"/>
              <w:adjustRightInd w:val="0"/>
              <w:snapToGrid w:val="0"/>
              <w:spacing w:line="360" w:lineRule="auto"/>
              <w:ind w:firstLine="0"/>
              <w:jc w:val="center"/>
              <w:rPr>
                <w:rFonts w:hint="eastAsia" w:ascii="宋体" w:hAnsi="宋体"/>
                <w:bCs/>
                <w:color w:val="auto"/>
                <w:sz w:val="24"/>
                <w:szCs w:val="24"/>
                <w:highlight w:val="none"/>
              </w:rPr>
            </w:pPr>
          </w:p>
        </w:tc>
      </w:tr>
      <w:tr w14:paraId="3C70F2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07A2D7F2">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548EDA0C">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049DC690">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6714E166">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4ABBB2CB">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4FF88DA0">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15659C0F">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637BEFD3">
            <w:pPr>
              <w:pStyle w:val="5"/>
              <w:adjustRightInd w:val="0"/>
              <w:snapToGrid w:val="0"/>
              <w:spacing w:line="360" w:lineRule="auto"/>
              <w:ind w:firstLine="0"/>
              <w:jc w:val="center"/>
              <w:rPr>
                <w:rFonts w:hint="eastAsia" w:ascii="宋体" w:hAnsi="宋体"/>
                <w:bCs/>
                <w:color w:val="auto"/>
                <w:sz w:val="24"/>
                <w:szCs w:val="24"/>
                <w:highlight w:val="none"/>
              </w:rPr>
            </w:pPr>
          </w:p>
        </w:tc>
      </w:tr>
      <w:tr w14:paraId="3AFD7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0AE584C6">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1BC4AD35">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6EAAD886">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33BBB1AF">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7E8661DF">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29F76AF0">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4A5DDFF7">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00FA8FCF">
            <w:pPr>
              <w:pStyle w:val="5"/>
              <w:adjustRightInd w:val="0"/>
              <w:snapToGrid w:val="0"/>
              <w:spacing w:line="360" w:lineRule="auto"/>
              <w:ind w:firstLine="0"/>
              <w:jc w:val="center"/>
              <w:rPr>
                <w:rFonts w:hint="eastAsia" w:ascii="宋体" w:hAnsi="宋体"/>
                <w:bCs/>
                <w:color w:val="auto"/>
                <w:sz w:val="24"/>
                <w:szCs w:val="24"/>
                <w:highlight w:val="none"/>
              </w:rPr>
            </w:pPr>
          </w:p>
        </w:tc>
      </w:tr>
      <w:tr w14:paraId="6F70C6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377E27A5">
            <w:pPr>
              <w:widowControl/>
              <w:adjustRightInd w:val="0"/>
              <w:snapToGrid w:val="0"/>
              <w:spacing w:line="360" w:lineRule="auto"/>
              <w:jc w:val="center"/>
              <w:rPr>
                <w:rFonts w:ascii="宋体" w:hAnsi="宋体" w:cs="宋体"/>
                <w:bCs/>
                <w:color w:val="auto"/>
                <w:kern w:val="0"/>
                <w:sz w:val="24"/>
                <w:szCs w:val="24"/>
                <w:highlight w:val="none"/>
              </w:rPr>
            </w:pPr>
          </w:p>
        </w:tc>
        <w:tc>
          <w:tcPr>
            <w:tcW w:w="6058" w:type="dxa"/>
            <w:gridSpan w:val="5"/>
            <w:noWrap w:val="0"/>
            <w:vAlign w:val="center"/>
          </w:tcPr>
          <w:p w14:paraId="736C93B3">
            <w:pPr>
              <w:pStyle w:val="5"/>
              <w:adjustRightInd w:val="0"/>
              <w:snapToGrid w:val="0"/>
              <w:spacing w:line="360" w:lineRule="auto"/>
              <w:ind w:firstLine="0"/>
              <w:jc w:val="center"/>
              <w:rPr>
                <w:rFonts w:hint="eastAsia" w:ascii="宋体" w:hAnsi="宋体"/>
                <w:bCs/>
                <w:color w:val="auto"/>
                <w:sz w:val="24"/>
                <w:szCs w:val="24"/>
                <w:highlight w:val="none"/>
              </w:rPr>
            </w:pPr>
            <w:r>
              <w:rPr>
                <w:rFonts w:hint="eastAsia" w:ascii="宋体" w:hAnsi="宋体"/>
                <w:bCs/>
                <w:color w:val="auto"/>
                <w:sz w:val="24"/>
                <w:szCs w:val="24"/>
                <w:highlight w:val="none"/>
              </w:rPr>
              <w:t>大写</w:t>
            </w:r>
          </w:p>
        </w:tc>
        <w:tc>
          <w:tcPr>
            <w:tcW w:w="2616" w:type="dxa"/>
            <w:gridSpan w:val="2"/>
            <w:noWrap w:val="0"/>
            <w:vAlign w:val="center"/>
          </w:tcPr>
          <w:p w14:paraId="77C439FD">
            <w:pPr>
              <w:pStyle w:val="5"/>
              <w:adjustRightInd w:val="0"/>
              <w:snapToGrid w:val="0"/>
              <w:spacing w:line="360" w:lineRule="auto"/>
              <w:ind w:firstLine="0"/>
              <w:jc w:val="center"/>
              <w:rPr>
                <w:rFonts w:hint="eastAsia" w:ascii="宋体" w:hAnsi="宋体"/>
                <w:bCs/>
                <w:color w:val="auto"/>
                <w:sz w:val="24"/>
                <w:szCs w:val="24"/>
                <w:highlight w:val="none"/>
              </w:rPr>
            </w:pPr>
            <w:r>
              <w:rPr>
                <w:rFonts w:hint="eastAsia" w:ascii="宋体" w:hAnsi="宋体"/>
                <w:bCs/>
                <w:color w:val="auto"/>
                <w:sz w:val="24"/>
                <w:szCs w:val="24"/>
                <w:highlight w:val="none"/>
              </w:rPr>
              <w:t>￥</w:t>
            </w:r>
          </w:p>
        </w:tc>
      </w:tr>
    </w:tbl>
    <w:p w14:paraId="5B0B5C70">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3" w:name="_Toc5640_WPSOffice_Level2"/>
      <w:r>
        <w:rPr>
          <w:rFonts w:hint="eastAsia" w:ascii="Times New Roman" w:hAnsi="Times New Roman" w:eastAsia="宋体" w:cs="Times New Roman"/>
          <w:bCs/>
          <w:color w:val="auto"/>
          <w:kern w:val="2"/>
          <w:sz w:val="24"/>
          <w:szCs w:val="24"/>
          <w:highlight w:val="none"/>
          <w:lang w:val="en-US" w:eastAsia="zh-CN" w:bidi="ar-SA"/>
        </w:rPr>
        <w:br w:type="page"/>
      </w:r>
      <w:r>
        <w:rPr>
          <w:rFonts w:hint="eastAsia" w:ascii="Times New Roman" w:hAnsi="Times New Roman" w:eastAsia="宋体" w:cs="Times New Roman"/>
          <w:bCs/>
          <w:color w:val="auto"/>
          <w:kern w:val="2"/>
          <w:sz w:val="24"/>
          <w:szCs w:val="24"/>
          <w:highlight w:val="none"/>
          <w:lang w:val="en-US" w:eastAsia="zh-CN" w:bidi="ar-SA"/>
        </w:rPr>
        <w:t>第二条 合同价款</w:t>
      </w:r>
      <w:bookmarkEnd w:id="3"/>
    </w:p>
    <w:p w14:paraId="3A88ACB6">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1.合同总价：人民币（大写）</w:t>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rPr>
        <w:t>元，（￥</w:t>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rPr>
        <w:t>）。</w:t>
      </w:r>
    </w:p>
    <w:p w14:paraId="2F8B6EB7">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2.本合同总价是货物（产品）设计、材料、制造、包装、运输、安装、调试、检测、验收合格交付使用之前及保修期内保修服务与备用物件等其他有关各项的含税费用。</w:t>
      </w:r>
    </w:p>
    <w:p w14:paraId="01B51F3A">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3.本合同总价还包含乙方应当提供的伴随服务和售后服务费用。</w:t>
      </w:r>
    </w:p>
    <w:p w14:paraId="3EA018B8">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4.本合同执行期间合同总价不变，甲方无须另向乙方支付本合同规定之外的其他任何费用。</w:t>
      </w:r>
    </w:p>
    <w:p w14:paraId="48B45E44">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4" w:name="_Toc4560_WPSOffice_Level2"/>
      <w:r>
        <w:rPr>
          <w:rFonts w:hint="eastAsia" w:ascii="Times New Roman" w:hAnsi="Times New Roman" w:eastAsia="宋体" w:cs="Times New Roman"/>
          <w:bCs/>
          <w:color w:val="auto"/>
          <w:kern w:val="2"/>
          <w:sz w:val="24"/>
          <w:szCs w:val="24"/>
          <w:highlight w:val="none"/>
          <w:lang w:val="en-US" w:eastAsia="zh-CN" w:bidi="ar-SA"/>
        </w:rPr>
        <w:t>第三条 货款支付</w:t>
      </w:r>
      <w:bookmarkEnd w:id="4"/>
    </w:p>
    <w:p w14:paraId="39BFE2D3">
      <w:pPr>
        <w:pStyle w:val="12"/>
        <w:spacing w:line="360" w:lineRule="auto"/>
        <w:ind w:firstLine="650" w:firstLineChars="271"/>
        <w:rPr>
          <w:rFonts w:hint="eastAsia" w:ascii="宋体" w:hAnsi="宋体"/>
          <w:bCs/>
          <w:color w:val="auto"/>
          <w:sz w:val="24"/>
          <w:szCs w:val="24"/>
          <w:highlight w:val="none"/>
        </w:rPr>
      </w:pPr>
      <w:r>
        <w:rPr>
          <w:rFonts w:hint="eastAsia" w:ascii="宋体" w:hAnsi="宋体"/>
          <w:bCs/>
          <w:color w:val="auto"/>
          <w:sz w:val="24"/>
          <w:szCs w:val="24"/>
          <w:highlight w:val="none"/>
        </w:rPr>
        <w:t>1.货物（产品）按下列比例支付价款：</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81"/>
        <w:gridCol w:w="2646"/>
        <w:gridCol w:w="2707"/>
        <w:gridCol w:w="2698"/>
      </w:tblGrid>
      <w:tr w14:paraId="3C6F8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blHeader/>
        </w:trPr>
        <w:tc>
          <w:tcPr>
            <w:tcW w:w="481"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726EAED1">
            <w:pPr>
              <w:keepNext w:val="0"/>
              <w:keepLines w:val="0"/>
              <w:widowControl/>
              <w:suppressLineNumbers w:val="0"/>
              <w:wordWrap/>
              <w:spacing w:before="0" w:beforeAutospacing="0" w:after="0" w:afterAutospacing="0" w:line="360" w:lineRule="atLeast"/>
              <w:ind w:left="0" w:right="0"/>
              <w:jc w:val="center"/>
              <w:rPr>
                <w:b/>
                <w:color w:val="auto"/>
                <w:sz w:val="24"/>
                <w:szCs w:val="24"/>
              </w:rPr>
            </w:pPr>
            <w:r>
              <w:rPr>
                <w:rFonts w:ascii="宋体" w:hAnsi="宋体" w:eastAsia="宋体" w:cs="宋体"/>
                <w:b/>
                <w:color w:val="auto"/>
                <w:kern w:val="0"/>
                <w:sz w:val="24"/>
                <w:szCs w:val="24"/>
                <w:lang w:val="en-US" w:eastAsia="zh-CN" w:bidi="ar"/>
              </w:rPr>
              <w:t>序号</w:t>
            </w:r>
          </w:p>
        </w:tc>
        <w:tc>
          <w:tcPr>
            <w:tcW w:w="2646"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54212056">
            <w:pPr>
              <w:keepNext w:val="0"/>
              <w:keepLines w:val="0"/>
              <w:widowControl/>
              <w:suppressLineNumbers w:val="0"/>
              <w:wordWrap/>
              <w:spacing w:before="0" w:beforeAutospacing="0" w:after="0" w:afterAutospacing="0" w:line="360" w:lineRule="atLeast"/>
              <w:ind w:left="0" w:right="0"/>
              <w:jc w:val="center"/>
              <w:rPr>
                <w:b/>
                <w:color w:val="auto"/>
                <w:sz w:val="24"/>
                <w:szCs w:val="24"/>
              </w:rPr>
            </w:pPr>
            <w:r>
              <w:rPr>
                <w:rFonts w:hint="eastAsia" w:ascii="宋体" w:hAnsi="宋体" w:eastAsia="宋体" w:cs="宋体"/>
                <w:b/>
                <w:color w:val="auto"/>
                <w:kern w:val="0"/>
                <w:sz w:val="24"/>
                <w:szCs w:val="24"/>
                <w:lang w:val="en-US" w:eastAsia="zh-CN" w:bidi="ar"/>
              </w:rPr>
              <w:t>付款条件</w:t>
            </w:r>
          </w:p>
        </w:tc>
        <w:tc>
          <w:tcPr>
            <w:tcW w:w="2707"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1B3C108B">
            <w:pPr>
              <w:keepNext w:val="0"/>
              <w:keepLines w:val="0"/>
              <w:widowControl/>
              <w:suppressLineNumbers w:val="0"/>
              <w:wordWrap/>
              <w:spacing w:before="0" w:beforeAutospacing="0" w:after="0" w:afterAutospacing="0" w:line="360" w:lineRule="atLeast"/>
              <w:ind w:left="0" w:leftChars="0" w:right="0" w:rightChars="0"/>
              <w:jc w:val="center"/>
              <w:rPr>
                <w:b/>
                <w:color w:val="auto"/>
                <w:sz w:val="24"/>
                <w:szCs w:val="24"/>
              </w:rPr>
            </w:pPr>
            <w:r>
              <w:rPr>
                <w:rFonts w:hint="eastAsia" w:ascii="宋体" w:hAnsi="宋体" w:eastAsia="宋体" w:cs="宋体"/>
                <w:b/>
                <w:color w:val="auto"/>
                <w:kern w:val="0"/>
                <w:sz w:val="24"/>
                <w:szCs w:val="24"/>
                <w:lang w:val="en-US" w:eastAsia="zh-CN" w:bidi="ar"/>
              </w:rPr>
              <w:t>达到付款条件起XX日</w:t>
            </w:r>
          </w:p>
        </w:tc>
        <w:tc>
          <w:tcPr>
            <w:tcW w:w="2698"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0AB84CFB">
            <w:pPr>
              <w:keepNext w:val="0"/>
              <w:keepLines w:val="0"/>
              <w:widowControl/>
              <w:suppressLineNumbers w:val="0"/>
              <w:wordWrap/>
              <w:spacing w:before="0" w:beforeAutospacing="0" w:after="0" w:afterAutospacing="0" w:line="360" w:lineRule="atLeast"/>
              <w:ind w:left="0" w:leftChars="0" w:right="0" w:rightChars="0"/>
              <w:jc w:val="center"/>
              <w:rPr>
                <w:rFonts w:ascii="宋体" w:hAnsi="宋体" w:eastAsia="宋体" w:cs="宋体"/>
                <w:b/>
                <w:color w:val="auto"/>
                <w:kern w:val="0"/>
                <w:sz w:val="24"/>
                <w:szCs w:val="24"/>
                <w:lang w:val="en-US" w:eastAsia="zh-CN" w:bidi="ar"/>
              </w:rPr>
            </w:pPr>
            <w:r>
              <w:rPr>
                <w:rFonts w:hint="eastAsia" w:ascii="宋体" w:hAnsi="宋体" w:eastAsia="宋体" w:cs="宋体"/>
                <w:b/>
                <w:color w:val="auto"/>
                <w:kern w:val="0"/>
                <w:sz w:val="24"/>
                <w:szCs w:val="24"/>
                <w:lang w:val="en-US" w:eastAsia="zh-CN" w:bidi="ar"/>
              </w:rPr>
              <w:t>支付合同总金额XX%</w:t>
            </w:r>
          </w:p>
        </w:tc>
      </w:tr>
      <w:tr w14:paraId="407AB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29542E8">
            <w:pPr>
              <w:keepNext w:val="0"/>
              <w:keepLines w:val="0"/>
              <w:widowControl/>
              <w:suppressLineNumbers w:val="0"/>
              <w:wordWrap w:val="0"/>
              <w:spacing w:before="0" w:beforeAutospacing="0" w:after="0" w:afterAutospacing="0" w:line="360" w:lineRule="atLeast"/>
              <w:ind w:left="0" w:right="0"/>
              <w:jc w:val="left"/>
              <w:rPr>
                <w:color w:val="auto"/>
                <w:sz w:val="24"/>
                <w:szCs w:val="24"/>
                <w:highlight w:val="none"/>
              </w:rPr>
            </w:pPr>
            <w:r>
              <w:rPr>
                <w:rFonts w:ascii="宋体" w:hAnsi="宋体" w:eastAsia="宋体" w:cs="宋体"/>
                <w:color w:val="auto"/>
                <w:kern w:val="0"/>
                <w:sz w:val="24"/>
                <w:szCs w:val="24"/>
                <w:highlight w:val="none"/>
                <w:lang w:val="en-US" w:eastAsia="zh-CN" w:bidi="ar"/>
              </w:rPr>
              <w:t>1</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A33D20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eastAsia"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eastAsia="宋体" w:cs="宋体"/>
                <w:i w:val="0"/>
                <w:caps w:val="0"/>
                <w:color w:val="auto"/>
                <w:spacing w:val="0"/>
                <w:sz w:val="24"/>
                <w:szCs w:val="24"/>
                <w:highlight w:val="none"/>
                <w:shd w:val="clear" w:color="auto" w:fill="FFFFFF"/>
                <w:lang w:val="en-US" w:eastAsia="zh-CN"/>
              </w:rPr>
              <w:t>合同签订后到货调试且验收合格后</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EAC7CF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45日</w:t>
            </w: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D00A8F7">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100%</w:t>
            </w:r>
          </w:p>
        </w:tc>
      </w:tr>
    </w:tbl>
    <w:p w14:paraId="7BECCC0F">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2.乙方须向甲方出具合法有效的完税发票，甲方进行支付结算。</w:t>
      </w:r>
    </w:p>
    <w:p w14:paraId="33D6E02C">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3.结算方式：银行转账。</w:t>
      </w:r>
    </w:p>
    <w:p w14:paraId="7DD4700C">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5" w:name="_Toc30219_WPSOffice_Level2"/>
      <w:r>
        <w:rPr>
          <w:rFonts w:hint="eastAsia" w:ascii="Times New Roman" w:hAnsi="Times New Roman" w:eastAsia="宋体" w:cs="Times New Roman"/>
          <w:bCs/>
          <w:color w:val="auto"/>
          <w:kern w:val="2"/>
          <w:sz w:val="24"/>
          <w:szCs w:val="24"/>
          <w:highlight w:val="none"/>
          <w:lang w:val="en-US" w:eastAsia="zh-CN" w:bidi="ar-SA"/>
        </w:rPr>
        <w:t>第四条 交货时间与地点</w:t>
      </w:r>
      <w:bookmarkEnd w:id="5"/>
    </w:p>
    <w:p w14:paraId="406F6F10">
      <w:pPr>
        <w:pStyle w:val="12"/>
        <w:spacing w:line="360" w:lineRule="auto"/>
        <w:ind w:firstLine="561" w:firstLineChars="0"/>
        <w:rPr>
          <w:rFonts w:hint="eastAsia" w:ascii="宋体" w:hAnsi="宋体"/>
          <w:bCs/>
          <w:color w:val="auto"/>
          <w:sz w:val="24"/>
          <w:szCs w:val="24"/>
          <w:highlight w:val="none"/>
        </w:rPr>
      </w:pPr>
      <w:r>
        <w:rPr>
          <w:rFonts w:hint="eastAsia" w:ascii="宋体" w:hAnsi="宋体"/>
          <w:bCs/>
          <w:color w:val="auto"/>
          <w:sz w:val="24"/>
          <w:szCs w:val="24"/>
          <w:highlight w:val="none"/>
        </w:rPr>
        <w:t>乙方在合同签订生效之日起，按甲方指定时间、地点交货。</w:t>
      </w:r>
    </w:p>
    <w:p w14:paraId="1A27063A">
      <w:pPr>
        <w:pStyle w:val="12"/>
        <w:spacing w:line="360" w:lineRule="auto"/>
        <w:ind w:firstLine="561" w:firstLineChars="0"/>
        <w:rPr>
          <w:rFonts w:hint="eastAsia" w:ascii="宋体" w:hAnsi="宋体"/>
          <w:bCs/>
          <w:color w:val="auto"/>
          <w:sz w:val="24"/>
          <w:szCs w:val="24"/>
          <w:highlight w:val="none"/>
        </w:rPr>
      </w:pPr>
      <w:r>
        <w:rPr>
          <w:rFonts w:hint="eastAsia" w:ascii="宋体" w:hAnsi="宋体"/>
          <w:bCs/>
          <w:color w:val="auto"/>
          <w:sz w:val="24"/>
          <w:szCs w:val="24"/>
          <w:highlight w:val="none"/>
        </w:rPr>
        <w:t>1.交货时间（期限）：</w:t>
      </w:r>
      <w:r>
        <w:rPr>
          <w:rFonts w:hint="eastAsia" w:ascii="宋体" w:hAnsi="宋体"/>
          <w:bCs/>
          <w:color w:val="auto"/>
          <w:sz w:val="24"/>
          <w:szCs w:val="24"/>
          <w:highlight w:val="none"/>
          <w:lang w:val="en-US" w:eastAsia="zh-CN"/>
        </w:rPr>
        <w:t xml:space="preserve"> </w:t>
      </w:r>
    </w:p>
    <w:p w14:paraId="72338F31">
      <w:pPr>
        <w:pStyle w:val="12"/>
        <w:spacing w:line="360" w:lineRule="auto"/>
        <w:ind w:firstLine="561" w:firstLineChars="0"/>
        <w:rPr>
          <w:rFonts w:hint="eastAsia" w:ascii="宋体" w:hAnsi="宋体"/>
          <w:bCs/>
          <w:color w:val="auto"/>
          <w:sz w:val="24"/>
          <w:szCs w:val="24"/>
          <w:highlight w:val="none"/>
          <w:lang w:val="en-US" w:eastAsia="zh-CN"/>
        </w:rPr>
      </w:pPr>
      <w:r>
        <w:rPr>
          <w:rFonts w:hint="eastAsia" w:ascii="宋体" w:hAnsi="宋体"/>
          <w:bCs/>
          <w:color w:val="auto"/>
          <w:sz w:val="24"/>
          <w:szCs w:val="24"/>
          <w:highlight w:val="none"/>
        </w:rPr>
        <w:t>2.交货地点：</w:t>
      </w:r>
      <w:r>
        <w:rPr>
          <w:rFonts w:hint="eastAsia" w:ascii="宋体" w:hAnsi="宋体"/>
          <w:bCs/>
          <w:color w:val="auto"/>
          <w:sz w:val="24"/>
          <w:szCs w:val="24"/>
          <w:highlight w:val="none"/>
          <w:lang w:val="en-US" w:eastAsia="zh-CN"/>
        </w:rPr>
        <w:t xml:space="preserve"> </w:t>
      </w:r>
      <w:bookmarkStart w:id="16" w:name="_GoBack"/>
      <w:bookmarkEnd w:id="16"/>
    </w:p>
    <w:p w14:paraId="04136C3B">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6" w:name="_Toc19472_WPSOffice_Level2"/>
      <w:r>
        <w:rPr>
          <w:rFonts w:hint="eastAsia" w:ascii="Times New Roman" w:hAnsi="Times New Roman" w:eastAsia="宋体" w:cs="Times New Roman"/>
          <w:bCs/>
          <w:color w:val="auto"/>
          <w:kern w:val="2"/>
          <w:sz w:val="24"/>
          <w:szCs w:val="24"/>
          <w:highlight w:val="none"/>
          <w:lang w:val="en-US" w:eastAsia="zh-CN" w:bidi="ar-SA"/>
        </w:rPr>
        <w:t>第五条 质量保证</w:t>
      </w:r>
      <w:bookmarkEnd w:id="6"/>
    </w:p>
    <w:p w14:paraId="2663EB84">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1.乙方须提供全新的、未使用过的合格正品货物（含零部件、配件等），完全符合合同规定的质量、规格和性能的要求。</w:t>
      </w:r>
    </w:p>
    <w:p w14:paraId="33A2424B">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2.乙方提供的节能和环保产品必须是列入节能、环保标志产品品目清单中的产品。</w:t>
      </w:r>
    </w:p>
    <w:p w14:paraId="36BBD2DD">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3.质量标准按照最新颁布的国家标准、行业标准或制造商企业标准确定，上述标准不一致的，以严格标准为准。</w:t>
      </w:r>
    </w:p>
    <w:p w14:paraId="3FD40A0B">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4.乙方所提供货物还应符合国家和陕西省有关安全、环保、节能之规定，“3C”认证的货物（产品）应加贴“3C”认证标志。</w:t>
      </w:r>
    </w:p>
    <w:p w14:paraId="4711928E">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5.货物制造质量出现问题，乙方应负责三包（包修、包换、包退），费用由乙方负担，甲方有权到乙方生产场地检查货物质量和生产进度。</w:t>
      </w:r>
    </w:p>
    <w:p w14:paraId="5555982C">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7" w:name="_Toc26003_WPSOffice_Level2"/>
      <w:r>
        <w:rPr>
          <w:rFonts w:hint="eastAsia" w:ascii="Times New Roman" w:hAnsi="Times New Roman" w:eastAsia="宋体" w:cs="Times New Roman"/>
          <w:bCs/>
          <w:color w:val="auto"/>
          <w:kern w:val="2"/>
          <w:sz w:val="24"/>
          <w:szCs w:val="24"/>
          <w:highlight w:val="none"/>
          <w:lang w:val="en-US" w:eastAsia="zh-CN" w:bidi="ar-SA"/>
        </w:rPr>
        <w:t>第六条 权利保证</w:t>
      </w:r>
      <w:bookmarkEnd w:id="7"/>
    </w:p>
    <w:p w14:paraId="4E97C3CA">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1.乙方保证对其出售的货物享有合法的权利。</w:t>
      </w:r>
    </w:p>
    <w:p w14:paraId="2D300BBF">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2.乙方保证对其出售的货物上不存在任何未曾向甲方透露的担保物权，如抵押权、质押权、留置权。</w:t>
      </w:r>
    </w:p>
    <w:p w14:paraId="58F7F127">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3.乙方保证对其出售的货物或其任何一部分没有侵犯第三方的专利权、版权、商标权或其他权利。</w:t>
      </w:r>
    </w:p>
    <w:p w14:paraId="2B409B19">
      <w:pPr>
        <w:pStyle w:val="12"/>
        <w:spacing w:line="360" w:lineRule="auto"/>
        <w:ind w:left="141" w:leftChars="67" w:firstLine="420"/>
        <w:rPr>
          <w:rFonts w:hint="eastAsia" w:ascii="宋体" w:hAnsi="宋体"/>
          <w:bCs/>
          <w:color w:val="auto"/>
          <w:sz w:val="24"/>
          <w:szCs w:val="24"/>
          <w:highlight w:val="none"/>
        </w:rPr>
      </w:pPr>
      <w:r>
        <w:rPr>
          <w:rFonts w:hint="eastAsia" w:ascii="宋体" w:hAnsi="宋体"/>
          <w:bCs/>
          <w:color w:val="auto"/>
          <w:sz w:val="24"/>
          <w:szCs w:val="24"/>
          <w:highlight w:val="none"/>
        </w:rPr>
        <w:t>4.如甲方在使用该货物构成上述侵权的，则由乙方承担全部责任。</w:t>
      </w:r>
    </w:p>
    <w:p w14:paraId="3C670C55">
      <w:pPr>
        <w:pStyle w:val="12"/>
        <w:spacing w:before="120" w:beforeLines="50" w:after="120" w:afterLines="50" w:line="360" w:lineRule="auto"/>
        <w:ind w:firstLine="398" w:firstLineChars="166"/>
        <w:rPr>
          <w:rFonts w:hint="eastAsia" w:ascii="宋体" w:hAnsi="宋体"/>
          <w:bCs/>
          <w:color w:val="auto"/>
          <w:sz w:val="24"/>
          <w:szCs w:val="24"/>
          <w:highlight w:val="none"/>
        </w:rPr>
      </w:pPr>
      <w:bookmarkStart w:id="8" w:name="_Toc6983_WPSOffice_Level2"/>
      <w:r>
        <w:rPr>
          <w:rFonts w:hint="eastAsia" w:ascii="Times New Roman" w:hAnsi="Times New Roman" w:eastAsia="宋体" w:cs="Times New Roman"/>
          <w:bCs/>
          <w:color w:val="auto"/>
          <w:kern w:val="2"/>
          <w:sz w:val="24"/>
          <w:szCs w:val="24"/>
          <w:highlight w:val="none"/>
          <w:lang w:val="en-US" w:eastAsia="zh-CN" w:bidi="ar-SA"/>
        </w:rPr>
        <w:t>第七条 包装要求与运输方式</w:t>
      </w:r>
      <w:bookmarkEnd w:id="8"/>
      <w:r>
        <w:rPr>
          <w:rFonts w:hint="eastAsia" w:ascii="Times New Roman" w:hAnsi="Times New Roman" w:eastAsia="宋体" w:cs="Times New Roman"/>
          <w:bCs/>
          <w:color w:val="auto"/>
          <w:kern w:val="2"/>
          <w:sz w:val="24"/>
          <w:szCs w:val="24"/>
          <w:highlight w:val="none"/>
          <w:lang w:val="en-US" w:eastAsia="zh-CN" w:bidi="ar-SA"/>
        </w:rPr>
        <w:t xml:space="preserve">  </w:t>
      </w:r>
      <w:r>
        <w:rPr>
          <w:rFonts w:hint="eastAsia" w:ascii="宋体" w:hAnsi="宋体"/>
          <w:bCs/>
          <w:color w:val="auto"/>
          <w:sz w:val="24"/>
          <w:szCs w:val="24"/>
          <w:highlight w:val="none"/>
        </w:rPr>
        <w:t xml:space="preserve"> </w:t>
      </w:r>
    </w:p>
    <w:p w14:paraId="42D665FE">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1.除合同另有规定外，乙方提供的全部货物均应按标准保护措施进行包装，该包装应适应于远距离运输、防潮、防震、防锈和防野蛮装卸，以确保货物安全运抵指定地点。</w:t>
      </w:r>
    </w:p>
    <w:p w14:paraId="6BB33A45">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2.每一包装单元应附详细的装箱单和质量合格证。</w:t>
      </w:r>
    </w:p>
    <w:p w14:paraId="35327098">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3.货物（产品）运输方式：</w:t>
      </w:r>
      <w:r>
        <w:rPr>
          <w:rFonts w:hint="eastAsia" w:ascii="宋体" w:hAnsi="宋体"/>
          <w:bCs/>
          <w:color w:val="auto"/>
          <w:sz w:val="24"/>
          <w:szCs w:val="24"/>
          <w:highlight w:val="none"/>
          <w:u w:val="single"/>
          <w:lang w:val="en-US" w:eastAsia="zh-CN"/>
        </w:rPr>
        <w:t xml:space="preserve">/  </w:t>
      </w:r>
      <w:r>
        <w:rPr>
          <w:rFonts w:hint="eastAsia" w:ascii="宋体" w:hAnsi="宋体"/>
          <w:bCs/>
          <w:color w:val="auto"/>
          <w:sz w:val="24"/>
          <w:szCs w:val="24"/>
          <w:highlight w:val="none"/>
        </w:rPr>
        <w:t>。</w:t>
      </w:r>
    </w:p>
    <w:p w14:paraId="2EFA9D50">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4.乙方负责货物（产品）运输，货物运输的合理损耗及计算方法</w:t>
      </w:r>
      <w:r>
        <w:rPr>
          <w:rFonts w:hint="eastAsia" w:ascii="宋体" w:hAnsi="宋体"/>
          <w:bCs/>
          <w:color w:val="auto"/>
          <w:sz w:val="24"/>
          <w:szCs w:val="24"/>
          <w:highlight w:val="none"/>
          <w:u w:val="single"/>
        </w:rPr>
        <w:t>乙方支付</w:t>
      </w:r>
      <w:r>
        <w:rPr>
          <w:rFonts w:hint="eastAsia" w:ascii="宋体" w:hAnsi="宋体"/>
          <w:bCs/>
          <w:color w:val="auto"/>
          <w:sz w:val="24"/>
          <w:szCs w:val="24"/>
          <w:highlight w:val="none"/>
        </w:rPr>
        <w:t>。</w:t>
      </w:r>
    </w:p>
    <w:p w14:paraId="393339AA">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9" w:name="_Toc13472_WPSOffice_Level2"/>
      <w:r>
        <w:rPr>
          <w:rFonts w:hint="eastAsia" w:ascii="Times New Roman" w:hAnsi="Times New Roman" w:eastAsia="宋体" w:cs="Times New Roman"/>
          <w:bCs/>
          <w:color w:val="auto"/>
          <w:sz w:val="24"/>
          <w:szCs w:val="24"/>
          <w:highlight w:val="none"/>
        </w:rPr>
        <w:t>第八条 货物验收</w:t>
      </w:r>
      <w:bookmarkEnd w:id="9"/>
    </w:p>
    <w:p w14:paraId="465F6AEF">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1.货物验收由甲方组织，乙方配合，并按下列程序进行：</w:t>
      </w:r>
    </w:p>
    <w:p w14:paraId="21F198AC">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09CF70AE">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（2）到货验收 ：货物到达后，按合同第一条款的货物清单和装箱单经行逐一核对，同时检查货物外观，是否有划痕或破损的，并做好相应记录；</w:t>
      </w:r>
    </w:p>
    <w:p w14:paraId="1BDF557B">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按乙方承诺的产品包装环保材料进行验收，必要时乙方需提供检测报告，甲方发现虚假承诺时，将扣除总货款的5%作为处罚。</w:t>
      </w:r>
    </w:p>
    <w:p w14:paraId="6E6FA2D9">
      <w:pPr>
        <w:pStyle w:val="12"/>
        <w:spacing w:line="360" w:lineRule="auto"/>
        <w:ind w:left="141" w:leftChars="67" w:firstLine="360" w:firstLineChars="150"/>
        <w:rPr>
          <w:rFonts w:hint="eastAsia" w:ascii="宋体" w:hAnsi="宋体" w:eastAsia="宋体"/>
          <w:bCs/>
          <w:color w:val="auto"/>
          <w:sz w:val="24"/>
          <w:szCs w:val="24"/>
          <w:highlight w:val="none"/>
          <w:lang w:eastAsia="zh-CN"/>
        </w:rPr>
      </w:pPr>
      <w:r>
        <w:rPr>
          <w:rFonts w:hint="eastAsia" w:ascii="宋体" w:hAnsi="宋体"/>
          <w:bCs/>
          <w:color w:val="auto"/>
          <w:sz w:val="24"/>
          <w:szCs w:val="24"/>
          <w:highlight w:val="none"/>
        </w:rPr>
        <w:t>（3）货物初验：</w:t>
      </w:r>
      <w:r>
        <w:rPr>
          <w:rFonts w:hint="eastAsia" w:ascii="宋体" w:hAnsi="宋体"/>
          <w:bCs/>
          <w:color w:val="auto"/>
          <w:sz w:val="24"/>
          <w:szCs w:val="24"/>
          <w:highlight w:val="none"/>
          <w:lang w:eastAsia="zh-CN"/>
        </w:rPr>
        <w:t>以甲方要求为准；</w:t>
      </w:r>
    </w:p>
    <w:p w14:paraId="06E21FBD">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（4）货物终验：</w:t>
      </w:r>
      <w:r>
        <w:rPr>
          <w:rFonts w:hint="eastAsia" w:ascii="宋体" w:hAnsi="宋体"/>
          <w:bCs/>
          <w:color w:val="auto"/>
          <w:sz w:val="24"/>
          <w:szCs w:val="24"/>
          <w:highlight w:val="none"/>
          <w:lang w:eastAsia="zh-CN"/>
        </w:rPr>
        <w:t>以甲方要求为准</w:t>
      </w:r>
      <w:r>
        <w:rPr>
          <w:rFonts w:hint="eastAsia" w:ascii="宋体" w:hAnsi="宋体"/>
          <w:bCs/>
          <w:color w:val="auto"/>
          <w:sz w:val="24"/>
          <w:szCs w:val="24"/>
          <w:highlight w:val="none"/>
        </w:rPr>
        <w:t>；</w:t>
      </w:r>
    </w:p>
    <w:p w14:paraId="69BBAE09">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（5）质量验收合格，双方签署质量验收报告。</w:t>
      </w:r>
    </w:p>
    <w:p w14:paraId="6B0A83E2">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2.货物验收依据：</w:t>
      </w:r>
    </w:p>
    <w:p w14:paraId="2F2F2FB5">
      <w:pPr>
        <w:pStyle w:val="5"/>
        <w:spacing w:line="360" w:lineRule="auto"/>
        <w:ind w:firstLineChars="200"/>
        <w:rPr>
          <w:rFonts w:hint="eastAsia" w:ascii="宋体" w:hAnsi="宋体"/>
          <w:bCs/>
          <w:color w:val="auto"/>
          <w:sz w:val="24"/>
          <w:szCs w:val="24"/>
          <w:highlight w:val="none"/>
        </w:rPr>
      </w:pPr>
      <w:r>
        <w:rPr>
          <w:rFonts w:hint="eastAsia" w:ascii="宋体" w:hAnsi="宋体"/>
          <w:bCs/>
          <w:color w:val="auto"/>
          <w:sz w:val="24"/>
          <w:szCs w:val="24"/>
          <w:highlight w:val="none"/>
        </w:rPr>
        <w:t>（1）</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w:t>
      </w:r>
    </w:p>
    <w:p w14:paraId="5D6B5D20">
      <w:pPr>
        <w:pStyle w:val="5"/>
        <w:spacing w:line="360" w:lineRule="auto"/>
        <w:ind w:firstLineChars="200"/>
        <w:rPr>
          <w:rFonts w:hint="eastAsia" w:ascii="宋体" w:hAnsi="宋体"/>
          <w:bCs/>
          <w:color w:val="auto"/>
          <w:sz w:val="24"/>
          <w:szCs w:val="24"/>
          <w:highlight w:val="none"/>
        </w:rPr>
      </w:pPr>
      <w:r>
        <w:rPr>
          <w:rFonts w:hint="eastAsia" w:ascii="宋体" w:hAnsi="宋体"/>
          <w:bCs/>
          <w:color w:val="auto"/>
          <w:sz w:val="24"/>
          <w:szCs w:val="24"/>
          <w:highlight w:val="none"/>
        </w:rPr>
        <w:t>（2）</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w:t>
      </w:r>
    </w:p>
    <w:p w14:paraId="5E02115B">
      <w:pPr>
        <w:pStyle w:val="5"/>
        <w:spacing w:line="360" w:lineRule="auto"/>
        <w:ind w:firstLineChars="200"/>
        <w:rPr>
          <w:rFonts w:hint="eastAsia" w:ascii="宋体" w:hAnsi="宋体"/>
          <w:bCs/>
          <w:color w:val="auto"/>
          <w:sz w:val="24"/>
          <w:szCs w:val="24"/>
          <w:highlight w:val="none"/>
        </w:rPr>
      </w:pPr>
      <w:r>
        <w:rPr>
          <w:rFonts w:hint="eastAsia" w:ascii="宋体" w:hAnsi="宋体"/>
          <w:bCs/>
          <w:color w:val="auto"/>
          <w:sz w:val="24"/>
          <w:szCs w:val="24"/>
          <w:highlight w:val="none"/>
        </w:rPr>
        <w:t>（3）采购合同及补充协议；</w:t>
      </w:r>
    </w:p>
    <w:p w14:paraId="474C3020">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（4）质检部门抽样检查货物（产品）合格的检测报告。</w:t>
      </w:r>
    </w:p>
    <w:p w14:paraId="43CF00B0">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3.货物验收时发现问题的处理办法：</w:t>
      </w:r>
    </w:p>
    <w:p w14:paraId="626D5B9F">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（1）乙方提供不符合</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文件和本合同规定的货物（产品），甲方有权拒绝接受；</w:t>
      </w:r>
    </w:p>
    <w:p w14:paraId="493C2DDE">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E9708BF">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（3）如货物经乙方</w:t>
      </w:r>
      <w:r>
        <w:rPr>
          <w:rFonts w:ascii="宋体" w:hAnsi="宋体"/>
          <w:bCs/>
          <w:color w:val="auto"/>
          <w:sz w:val="24"/>
          <w:szCs w:val="24"/>
          <w:highlight w:val="none"/>
          <w:u w:val="single"/>
        </w:rPr>
        <w:t>3</w:t>
      </w:r>
      <w:r>
        <w:rPr>
          <w:rFonts w:hint="eastAsia" w:ascii="宋体" w:hAnsi="宋体"/>
          <w:bCs/>
          <w:color w:val="auto"/>
          <w:sz w:val="24"/>
          <w:szCs w:val="24"/>
          <w:highlight w:val="none"/>
        </w:rPr>
        <w:t>次维修仍不能达到合同约定的质量标准，甲方有权退货，并视作乙方不能交付货物而须支付违约赔偿金给甲方，甲方还可依法追究乙方的违约责任； </w:t>
      </w:r>
    </w:p>
    <w:p w14:paraId="341D3952">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（4）货物安装完成后</w:t>
      </w:r>
      <w:r>
        <w:rPr>
          <w:rFonts w:ascii="宋体" w:hAnsi="宋体"/>
          <w:bCs/>
          <w:color w:val="auto"/>
          <w:sz w:val="24"/>
          <w:szCs w:val="24"/>
          <w:highlight w:val="none"/>
          <w:u w:val="single"/>
        </w:rPr>
        <w:t>7</w:t>
      </w:r>
      <w:r>
        <w:rPr>
          <w:rFonts w:hint="eastAsia" w:ascii="宋体" w:hAnsi="宋体"/>
          <w:bCs/>
          <w:color w:val="auto"/>
          <w:sz w:val="24"/>
          <w:szCs w:val="24"/>
          <w:highlight w:val="none"/>
        </w:rPr>
        <w:t>日内，甲方无故不进行验收工作并已使用货物的，视同已安装调试完成并验收合格；</w:t>
      </w:r>
    </w:p>
    <w:p w14:paraId="3DD61CEB">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（5）乙方不能完整交付货物及本条第一款规定的单证和工具的，必须负责补齐，否则视为未按合同约定交货；</w:t>
      </w:r>
    </w:p>
    <w:p w14:paraId="597D4A28">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（6）超出合理磅差的处理方法：</w:t>
      </w:r>
      <w:r>
        <w:rPr>
          <w:rFonts w:ascii="宋体" w:hAnsi="宋体"/>
          <w:bCs/>
          <w:color w:val="auto"/>
          <w:sz w:val="24"/>
          <w:szCs w:val="24"/>
          <w:highlight w:val="none"/>
          <w:u w:val="single"/>
        </w:rPr>
        <w:t>/</w:t>
      </w:r>
      <w:r>
        <w:rPr>
          <w:rFonts w:hint="eastAsia" w:ascii="宋体" w:hAnsi="宋体"/>
          <w:bCs/>
          <w:color w:val="auto"/>
          <w:sz w:val="24"/>
          <w:szCs w:val="24"/>
          <w:highlight w:val="none"/>
        </w:rPr>
        <w:t>。</w:t>
      </w:r>
    </w:p>
    <w:p w14:paraId="453DC0A5">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0" w:name="_Toc13737_WPSOffice_Level2"/>
      <w:r>
        <w:rPr>
          <w:rFonts w:hint="eastAsia" w:ascii="Times New Roman" w:hAnsi="Times New Roman" w:eastAsia="宋体" w:cs="Times New Roman"/>
          <w:bCs/>
          <w:color w:val="auto"/>
          <w:sz w:val="24"/>
          <w:szCs w:val="24"/>
          <w:highlight w:val="none"/>
        </w:rPr>
        <w:t>第九条 售后服务</w:t>
      </w:r>
      <w:bookmarkEnd w:id="10"/>
    </w:p>
    <w:p w14:paraId="5B8BC061">
      <w:pPr>
        <w:pStyle w:val="12"/>
        <w:spacing w:line="360" w:lineRule="auto"/>
        <w:ind w:firstLine="420"/>
        <w:rPr>
          <w:rFonts w:hint="eastAsia"/>
          <w:bCs/>
          <w:color w:val="auto"/>
          <w:kern w:val="0"/>
          <w:sz w:val="24"/>
          <w:szCs w:val="24"/>
          <w:highlight w:val="none"/>
        </w:rPr>
      </w:pPr>
      <w:r>
        <w:rPr>
          <w:rFonts w:hint="eastAsia"/>
          <w:bCs/>
          <w:color w:val="auto"/>
          <w:kern w:val="0"/>
          <w:sz w:val="24"/>
          <w:szCs w:val="24"/>
          <w:highlight w:val="none"/>
        </w:rPr>
        <w:t>乙方应按照国家有关法律法规和“三包”规定以及</w:t>
      </w:r>
      <w:r>
        <w:rPr>
          <w:rFonts w:hint="eastAsia"/>
          <w:bCs/>
          <w:color w:val="auto"/>
          <w:kern w:val="0"/>
          <w:sz w:val="24"/>
          <w:szCs w:val="24"/>
          <w:highlight w:val="none"/>
          <w:lang w:eastAsia="zh-CN"/>
        </w:rPr>
        <w:t>招标</w:t>
      </w:r>
      <w:r>
        <w:rPr>
          <w:rFonts w:hint="eastAsia"/>
          <w:bCs/>
          <w:color w:val="auto"/>
          <w:kern w:val="0"/>
          <w:sz w:val="24"/>
          <w:szCs w:val="24"/>
          <w:highlight w:val="none"/>
        </w:rPr>
        <w:t>文件要求和</w:t>
      </w:r>
      <w:r>
        <w:rPr>
          <w:rFonts w:hint="eastAsia"/>
          <w:bCs/>
          <w:color w:val="auto"/>
          <w:kern w:val="0"/>
          <w:sz w:val="24"/>
          <w:szCs w:val="24"/>
          <w:highlight w:val="none"/>
          <w:lang w:eastAsia="zh-CN"/>
        </w:rPr>
        <w:t>投标文件</w:t>
      </w:r>
      <w:r>
        <w:rPr>
          <w:rFonts w:hint="eastAsia"/>
          <w:bCs/>
          <w:color w:val="auto"/>
          <w:kern w:val="0"/>
          <w:sz w:val="24"/>
          <w:szCs w:val="24"/>
          <w:highlight w:val="none"/>
        </w:rPr>
        <w:t>的“服务承诺”提供服务。</w:t>
      </w:r>
    </w:p>
    <w:p w14:paraId="2176E2D6">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1" w:name="_Toc10879_WPSOffice_Level2"/>
      <w:r>
        <w:rPr>
          <w:rFonts w:hint="eastAsia" w:ascii="Times New Roman" w:hAnsi="Times New Roman" w:eastAsia="宋体" w:cs="Times New Roman"/>
          <w:bCs/>
          <w:color w:val="auto"/>
          <w:sz w:val="24"/>
          <w:szCs w:val="24"/>
          <w:highlight w:val="none"/>
        </w:rPr>
        <w:t>第十条 违约责任</w:t>
      </w:r>
      <w:bookmarkEnd w:id="11"/>
    </w:p>
    <w:p w14:paraId="118F4FCE">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1.甲方违约责任</w:t>
      </w:r>
    </w:p>
    <w:p w14:paraId="3E81E62E">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（1）甲方无正当理由拒收货物的，甲方应偿付合同总价</w:t>
      </w:r>
      <w:r>
        <w:rPr>
          <w:rFonts w:ascii="宋体" w:hAnsi="宋体"/>
          <w:bCs/>
          <w:color w:val="auto"/>
          <w:sz w:val="24"/>
          <w:szCs w:val="24"/>
          <w:highlight w:val="none"/>
          <w:u w:val="single"/>
        </w:rPr>
        <w:t>3</w:t>
      </w:r>
      <w:r>
        <w:rPr>
          <w:rFonts w:hint="eastAsia" w:ascii="宋体" w:hAnsi="宋体"/>
          <w:bCs/>
          <w:color w:val="auto"/>
          <w:sz w:val="24"/>
          <w:szCs w:val="24"/>
          <w:highlight w:val="none"/>
        </w:rPr>
        <w:t>%的违约金；</w:t>
      </w:r>
    </w:p>
    <w:p w14:paraId="5AA91D95">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（2）甲方逾期支付货款的，除应及时付足货款外，应向乙方每天支付欠款总额</w:t>
      </w:r>
      <w:r>
        <w:rPr>
          <w:rFonts w:ascii="宋体" w:hAnsi="宋体"/>
          <w:bCs/>
          <w:color w:val="auto"/>
          <w:sz w:val="24"/>
          <w:szCs w:val="24"/>
          <w:highlight w:val="none"/>
          <w:u w:val="single"/>
        </w:rPr>
        <w:t>3</w:t>
      </w:r>
      <w:r>
        <w:rPr>
          <w:rFonts w:hint="eastAsia" w:ascii="宋体" w:hAnsi="宋体"/>
          <w:bCs/>
          <w:color w:val="auto"/>
          <w:sz w:val="24"/>
          <w:szCs w:val="24"/>
          <w:highlight w:val="none"/>
        </w:rPr>
        <w:t>‰的滞纳金；但累计滞纳金总额不超过欠款总额的</w:t>
      </w:r>
      <w:r>
        <w:rPr>
          <w:rFonts w:ascii="宋体" w:hAnsi="宋体"/>
          <w:bCs/>
          <w:color w:val="auto"/>
          <w:sz w:val="24"/>
          <w:szCs w:val="24"/>
          <w:highlight w:val="none"/>
          <w:u w:val="single"/>
        </w:rPr>
        <w:t>5</w:t>
      </w:r>
      <w:r>
        <w:rPr>
          <w:rFonts w:hint="eastAsia" w:ascii="宋体" w:hAnsi="宋体"/>
          <w:bCs/>
          <w:color w:val="auto"/>
          <w:sz w:val="24"/>
          <w:szCs w:val="24"/>
          <w:highlight w:val="none"/>
        </w:rPr>
        <w:t>%。</w:t>
      </w:r>
    </w:p>
    <w:p w14:paraId="3BED6324">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2.乙方违约责任</w:t>
      </w:r>
    </w:p>
    <w:p w14:paraId="0FFE3DA0">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w:t>
      </w:r>
      <w:r>
        <w:rPr>
          <w:rFonts w:hint="eastAsia" w:ascii="宋体" w:hAnsi="宋体" w:cs="宋体"/>
          <w:bCs/>
          <w:color w:val="auto"/>
          <w:kern w:val="0"/>
          <w:sz w:val="24"/>
          <w:szCs w:val="24"/>
          <w:highlight w:val="none"/>
          <w:lang w:val="en-US" w:eastAsia="zh-CN"/>
        </w:rPr>
        <w:t>1</w:t>
      </w:r>
      <w:r>
        <w:rPr>
          <w:rFonts w:hint="eastAsia" w:ascii="宋体" w:hAnsi="宋体" w:cs="宋体"/>
          <w:bCs/>
          <w:color w:val="auto"/>
          <w:kern w:val="0"/>
          <w:sz w:val="24"/>
          <w:szCs w:val="24"/>
          <w:highlight w:val="none"/>
        </w:rPr>
        <w:t>）乙方逾期交付货物的，每逾期1天，乙方向甲方偿付逾期交货部分货款总额的</w:t>
      </w:r>
      <w:r>
        <w:rPr>
          <w:rFonts w:ascii="宋体" w:hAnsi="宋体" w:cs="宋体"/>
          <w:bCs/>
          <w:color w:val="auto"/>
          <w:kern w:val="0"/>
          <w:sz w:val="24"/>
          <w:szCs w:val="24"/>
          <w:highlight w:val="none"/>
          <w:u w:val="single"/>
        </w:rPr>
        <w:t>5</w:t>
      </w:r>
      <w:r>
        <w:rPr>
          <w:rFonts w:hint="eastAsia" w:ascii="宋体" w:hAnsi="宋体" w:cs="宋体"/>
          <w:bCs/>
          <w:color w:val="auto"/>
          <w:kern w:val="0"/>
          <w:sz w:val="24"/>
          <w:szCs w:val="24"/>
          <w:highlight w:val="none"/>
        </w:rPr>
        <w:t>‰的滞纳金。如乙方逾期交货达</w:t>
      </w:r>
      <w:r>
        <w:rPr>
          <w:rFonts w:ascii="宋体" w:hAnsi="宋体" w:cs="宋体"/>
          <w:bCs/>
          <w:color w:val="auto"/>
          <w:kern w:val="0"/>
          <w:sz w:val="24"/>
          <w:szCs w:val="24"/>
          <w:highlight w:val="none"/>
          <w:u w:val="single"/>
        </w:rPr>
        <w:t>10</w:t>
      </w:r>
      <w:r>
        <w:rPr>
          <w:rFonts w:hint="eastAsia" w:ascii="宋体" w:hAnsi="宋体" w:cs="宋体"/>
          <w:bCs/>
          <w:color w:val="auto"/>
          <w:kern w:val="0"/>
          <w:sz w:val="24"/>
          <w:szCs w:val="24"/>
          <w:highlight w:val="none"/>
        </w:rPr>
        <w:t>天，甲方有权解除合同，解除合同的通知自到达乙方时生效；</w:t>
      </w:r>
    </w:p>
    <w:p w14:paraId="40350711">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w:t>
      </w:r>
      <w:r>
        <w:rPr>
          <w:rFonts w:hint="eastAsia" w:ascii="宋体" w:hAnsi="宋体" w:cs="宋体"/>
          <w:bCs/>
          <w:color w:val="auto"/>
          <w:kern w:val="0"/>
          <w:sz w:val="24"/>
          <w:szCs w:val="24"/>
          <w:highlight w:val="none"/>
          <w:lang w:val="en-US" w:eastAsia="zh-CN"/>
        </w:rPr>
        <w:t>2</w:t>
      </w:r>
      <w:r>
        <w:rPr>
          <w:rFonts w:hint="eastAsia" w:ascii="宋体" w:hAnsi="宋体" w:cs="宋体"/>
          <w:bCs/>
          <w:color w:val="auto"/>
          <w:kern w:val="0"/>
          <w:sz w:val="24"/>
          <w:szCs w:val="24"/>
          <w:highlight w:val="none"/>
        </w:rPr>
        <w:t>）乙方所交付的货物品种、型号、规格不符合合同规定的，甲方有权拒收。甲方拒收的，乙方应向甲方支付货款总额</w:t>
      </w:r>
      <w:r>
        <w:rPr>
          <w:rFonts w:ascii="宋体" w:hAnsi="宋体" w:cs="宋体"/>
          <w:bCs/>
          <w:color w:val="auto"/>
          <w:kern w:val="0"/>
          <w:sz w:val="24"/>
          <w:szCs w:val="24"/>
          <w:highlight w:val="none"/>
          <w:u w:val="single"/>
        </w:rPr>
        <w:t>5</w:t>
      </w:r>
      <w:r>
        <w:rPr>
          <w:rFonts w:hint="eastAsia" w:ascii="宋体" w:hAnsi="宋体" w:cs="宋体"/>
          <w:bCs/>
          <w:color w:val="auto"/>
          <w:kern w:val="0"/>
          <w:sz w:val="24"/>
          <w:szCs w:val="24"/>
          <w:highlight w:val="none"/>
        </w:rPr>
        <w:t>%的违约金；</w:t>
      </w:r>
    </w:p>
    <w:p w14:paraId="0F54D760">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w:t>
      </w:r>
      <w:r>
        <w:rPr>
          <w:rFonts w:hint="eastAsia" w:ascii="宋体" w:hAnsi="宋体"/>
          <w:bCs/>
          <w:color w:val="auto"/>
          <w:sz w:val="24"/>
          <w:szCs w:val="24"/>
          <w:highlight w:val="none"/>
          <w:lang w:val="en-US" w:eastAsia="zh-CN"/>
        </w:rPr>
        <w:t>3</w:t>
      </w:r>
      <w:r>
        <w:rPr>
          <w:rFonts w:hint="eastAsia" w:ascii="宋体" w:hAnsi="宋体"/>
          <w:bCs/>
          <w:color w:val="auto"/>
          <w:sz w:val="24"/>
          <w:szCs w:val="24"/>
          <w:highlight w:val="none"/>
        </w:rPr>
        <w:t>）乙方货物经甲方送交具有法定资格条件的质量技术监督机构检测后，如检测结果认定货物质量不符合本合同规定标准的，则视为乙方没有按时交货而违约，乙方须在</w:t>
      </w:r>
      <w:r>
        <w:rPr>
          <w:rFonts w:ascii="宋体" w:hAnsi="宋体"/>
          <w:bCs/>
          <w:color w:val="auto"/>
          <w:sz w:val="24"/>
          <w:szCs w:val="24"/>
          <w:highlight w:val="none"/>
          <w:u w:val="single"/>
        </w:rPr>
        <w:t>10</w:t>
      </w:r>
      <w:r>
        <w:rPr>
          <w:rFonts w:hint="eastAsia" w:ascii="宋体" w:hAnsi="宋体"/>
          <w:bCs/>
          <w:color w:val="auto"/>
          <w:sz w:val="24"/>
          <w:szCs w:val="24"/>
          <w:highlight w:val="none"/>
        </w:rPr>
        <w:t>天内无条件更换合格的货物，如逾期不能更换合格的货物，甲方有权终止本合同，乙方应另向甲方支付货款总额的</w:t>
      </w:r>
      <w:r>
        <w:rPr>
          <w:rFonts w:ascii="宋体" w:hAnsi="宋体"/>
          <w:bCs/>
          <w:color w:val="auto"/>
          <w:sz w:val="24"/>
          <w:szCs w:val="24"/>
          <w:highlight w:val="none"/>
          <w:u w:val="single"/>
        </w:rPr>
        <w:t>0.5</w:t>
      </w:r>
      <w:r>
        <w:rPr>
          <w:rFonts w:hint="eastAsia" w:ascii="宋体" w:hAnsi="宋体"/>
          <w:bCs/>
          <w:color w:val="auto"/>
          <w:sz w:val="24"/>
          <w:szCs w:val="24"/>
          <w:highlight w:val="none"/>
        </w:rPr>
        <w:t>%的违约金；</w:t>
      </w:r>
    </w:p>
    <w:p w14:paraId="0500C817">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w:t>
      </w:r>
      <w:r>
        <w:rPr>
          <w:rFonts w:hint="eastAsia" w:ascii="宋体" w:hAnsi="宋体"/>
          <w:bCs/>
          <w:color w:val="auto"/>
          <w:kern w:val="0"/>
          <w:sz w:val="24"/>
          <w:szCs w:val="24"/>
          <w:highlight w:val="none"/>
          <w:lang w:val="en-US" w:eastAsia="zh-CN"/>
        </w:rPr>
        <w:t>4</w:t>
      </w:r>
      <w:r>
        <w:rPr>
          <w:rFonts w:hint="eastAsia" w:ascii="宋体" w:hAnsi="宋体"/>
          <w:bCs/>
          <w:color w:val="auto"/>
          <w:kern w:val="0"/>
          <w:sz w:val="24"/>
          <w:szCs w:val="24"/>
          <w:highlight w:val="none"/>
        </w:rPr>
        <w:t>）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A176A1D">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w:t>
      </w:r>
      <w:r>
        <w:rPr>
          <w:rFonts w:hint="eastAsia" w:ascii="宋体" w:hAnsi="宋体"/>
          <w:bCs/>
          <w:color w:val="auto"/>
          <w:kern w:val="0"/>
          <w:sz w:val="24"/>
          <w:szCs w:val="24"/>
          <w:highlight w:val="none"/>
          <w:lang w:val="en-US" w:eastAsia="zh-CN"/>
        </w:rPr>
        <w:t>5</w:t>
      </w:r>
      <w:r>
        <w:rPr>
          <w:rFonts w:hint="eastAsia" w:ascii="宋体" w:hAnsi="宋体"/>
          <w:bCs/>
          <w:color w:val="auto"/>
          <w:kern w:val="0"/>
          <w:sz w:val="24"/>
          <w:szCs w:val="24"/>
          <w:highlight w:val="none"/>
        </w:rPr>
        <w:t>）乙方未按本合同的规定和“服务承诺”提供伴随服务/售后服务的，应按合同总价款的</w:t>
      </w:r>
      <w:r>
        <w:rPr>
          <w:rFonts w:ascii="宋体" w:hAnsi="宋体"/>
          <w:bCs/>
          <w:color w:val="auto"/>
          <w:kern w:val="0"/>
          <w:sz w:val="24"/>
          <w:szCs w:val="24"/>
          <w:highlight w:val="none"/>
          <w:u w:val="single"/>
        </w:rPr>
        <w:t>0.3</w:t>
      </w:r>
      <w:r>
        <w:rPr>
          <w:rFonts w:hint="eastAsia" w:ascii="宋体" w:hAnsi="宋体"/>
          <w:bCs/>
          <w:color w:val="auto"/>
          <w:kern w:val="0"/>
          <w:sz w:val="24"/>
          <w:szCs w:val="24"/>
          <w:highlight w:val="none"/>
        </w:rPr>
        <w:t>%向甲方承担违约责任；</w:t>
      </w:r>
    </w:p>
    <w:p w14:paraId="57A6A5D8">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w:t>
      </w:r>
      <w:r>
        <w:rPr>
          <w:rFonts w:hint="eastAsia" w:ascii="宋体" w:hAnsi="宋体"/>
          <w:bCs/>
          <w:color w:val="auto"/>
          <w:kern w:val="0"/>
          <w:sz w:val="24"/>
          <w:szCs w:val="24"/>
          <w:highlight w:val="none"/>
          <w:lang w:val="en-US" w:eastAsia="zh-CN"/>
        </w:rPr>
        <w:t>6</w:t>
      </w:r>
      <w:r>
        <w:rPr>
          <w:rFonts w:hint="eastAsia" w:ascii="宋体" w:hAnsi="宋体"/>
          <w:bCs/>
          <w:color w:val="auto"/>
          <w:kern w:val="0"/>
          <w:sz w:val="24"/>
          <w:szCs w:val="24"/>
          <w:highlight w:val="none"/>
        </w:rPr>
        <w:t>）乙方在承担上述1-7款一项或多项违约责任后，仍应继续履行合同规定的义务（甲方解除合同的除外）。甲方未能及时追究乙方的任何一项违约责任并不表明甲方放弃追究乙方该项或其他违约责任；</w:t>
      </w:r>
    </w:p>
    <w:p w14:paraId="4BE28588">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w:t>
      </w:r>
      <w:r>
        <w:rPr>
          <w:rFonts w:hint="eastAsia" w:ascii="宋体" w:hAnsi="宋体"/>
          <w:bCs/>
          <w:color w:val="auto"/>
          <w:sz w:val="24"/>
          <w:szCs w:val="24"/>
          <w:highlight w:val="none"/>
          <w:lang w:val="en-US" w:eastAsia="zh-CN"/>
        </w:rPr>
        <w:t>7</w:t>
      </w:r>
      <w:r>
        <w:rPr>
          <w:rFonts w:hint="eastAsia" w:ascii="宋体" w:hAnsi="宋体"/>
          <w:bCs/>
          <w:color w:val="auto"/>
          <w:sz w:val="24"/>
          <w:szCs w:val="24"/>
          <w:highlight w:val="none"/>
        </w:rPr>
        <w:t>）乙方偿付的违约金不足以弥补甲方损失的，还应按甲方损失尚未弥补的部分，支付赔偿金给甲方。</w:t>
      </w:r>
    </w:p>
    <w:p w14:paraId="323528EF">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2" w:name="_Toc27807_WPSOffice_Level2"/>
      <w:r>
        <w:rPr>
          <w:rFonts w:hint="eastAsia" w:ascii="Times New Roman" w:hAnsi="Times New Roman" w:eastAsia="宋体" w:cs="Times New Roman"/>
          <w:bCs/>
          <w:color w:val="auto"/>
          <w:sz w:val="24"/>
          <w:szCs w:val="24"/>
          <w:highlight w:val="none"/>
        </w:rPr>
        <w:t>第十</w:t>
      </w:r>
      <w:r>
        <w:rPr>
          <w:rFonts w:hint="eastAsia" w:ascii="Times New Roman" w:hAnsi="Times New Roman" w:eastAsia="宋体" w:cs="Times New Roman"/>
          <w:bCs/>
          <w:color w:val="auto"/>
          <w:sz w:val="24"/>
          <w:szCs w:val="24"/>
          <w:highlight w:val="none"/>
          <w:lang w:eastAsia="zh-CN"/>
        </w:rPr>
        <w:t>一</w:t>
      </w:r>
      <w:r>
        <w:rPr>
          <w:rFonts w:hint="eastAsia" w:ascii="Times New Roman" w:hAnsi="Times New Roman" w:eastAsia="宋体" w:cs="Times New Roman"/>
          <w:bCs/>
          <w:color w:val="auto"/>
          <w:sz w:val="24"/>
          <w:szCs w:val="24"/>
          <w:highlight w:val="none"/>
        </w:rPr>
        <w:t>条 合同的变更和终止</w:t>
      </w:r>
      <w:bookmarkEnd w:id="12"/>
    </w:p>
    <w:p w14:paraId="311D0A15">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除《中华人民共和国政府采购法》第49条、第50条第二款规定的情形外，本合同一经签订，甲乙双方不得擅自变更、中止或终止合同。</w:t>
      </w:r>
    </w:p>
    <w:p w14:paraId="049FE885">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3" w:name="_Toc1788_WPSOffice_Level2"/>
      <w:r>
        <w:rPr>
          <w:rFonts w:hint="eastAsia" w:ascii="Times New Roman" w:hAnsi="Times New Roman" w:eastAsia="宋体" w:cs="Times New Roman"/>
          <w:bCs/>
          <w:color w:val="auto"/>
          <w:sz w:val="24"/>
          <w:szCs w:val="24"/>
          <w:highlight w:val="none"/>
        </w:rPr>
        <w:t>第十</w:t>
      </w:r>
      <w:r>
        <w:rPr>
          <w:rFonts w:hint="eastAsia" w:ascii="Times New Roman" w:hAnsi="Times New Roman" w:eastAsia="宋体" w:cs="Times New Roman"/>
          <w:bCs/>
          <w:color w:val="auto"/>
          <w:sz w:val="24"/>
          <w:szCs w:val="24"/>
          <w:highlight w:val="none"/>
          <w:lang w:eastAsia="zh-CN"/>
        </w:rPr>
        <w:t>二</w:t>
      </w:r>
      <w:r>
        <w:rPr>
          <w:rFonts w:hint="eastAsia" w:ascii="Times New Roman" w:hAnsi="Times New Roman" w:eastAsia="宋体" w:cs="Times New Roman"/>
          <w:bCs/>
          <w:color w:val="auto"/>
          <w:sz w:val="24"/>
          <w:szCs w:val="24"/>
          <w:highlight w:val="none"/>
        </w:rPr>
        <w:t>条 争议的解决</w:t>
      </w:r>
      <w:bookmarkEnd w:id="13"/>
    </w:p>
    <w:p w14:paraId="25ECA275">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1C8287AA">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2.因履行本合同引起的或与本合同有关的争议，甲、乙双方应首先通过友好协商解决，如果协商不成，则采取以下第</w:t>
      </w:r>
      <w:r>
        <w:rPr>
          <w:rFonts w:hint="eastAsia" w:ascii="宋体" w:hAnsi="宋体"/>
          <w:bCs/>
          <w:color w:val="auto"/>
          <w:kern w:val="0"/>
          <w:sz w:val="24"/>
          <w:szCs w:val="24"/>
          <w:highlight w:val="none"/>
          <w:u w:val="single"/>
        </w:rPr>
        <w:t>（1）</w:t>
      </w:r>
      <w:r>
        <w:rPr>
          <w:rFonts w:hint="eastAsia" w:ascii="宋体" w:hAnsi="宋体"/>
          <w:bCs/>
          <w:color w:val="auto"/>
          <w:kern w:val="0"/>
          <w:sz w:val="24"/>
          <w:szCs w:val="24"/>
          <w:highlight w:val="none"/>
        </w:rPr>
        <w:t>种方式解决争议：</w:t>
      </w:r>
    </w:p>
    <w:p w14:paraId="65AE3D99">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（1）向甲方所在地有管辖权的人民法院提起诉讼；</w:t>
      </w:r>
    </w:p>
    <w:p w14:paraId="4A245E4C">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（2）向____________仲裁委员会按其仲裁规则申请仲裁。</w:t>
      </w:r>
    </w:p>
    <w:p w14:paraId="0DAF786D">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3.在仲裁期间，本合同应继续履行。</w:t>
      </w:r>
    </w:p>
    <w:p w14:paraId="19B28058">
      <w:pPr>
        <w:snapToGrid w:val="0"/>
        <w:spacing w:before="120" w:beforeLines="50" w:after="120" w:afterLines="50" w:line="360" w:lineRule="auto"/>
        <w:ind w:firstLine="480" w:firstLineChars="200"/>
        <w:textAlignment w:val="baseline"/>
        <w:rPr>
          <w:rFonts w:hint="eastAsia" w:ascii="宋体" w:hAnsi="宋体"/>
          <w:bCs/>
          <w:color w:val="auto"/>
          <w:sz w:val="24"/>
          <w:szCs w:val="24"/>
          <w:highlight w:val="none"/>
        </w:rPr>
      </w:pPr>
      <w:bookmarkStart w:id="14" w:name="_Toc14174_WPSOffice_Level2"/>
      <w:r>
        <w:rPr>
          <w:rFonts w:hint="eastAsia" w:ascii="宋体" w:hAnsi="宋体"/>
          <w:bCs/>
          <w:color w:val="auto"/>
          <w:sz w:val="24"/>
          <w:szCs w:val="24"/>
          <w:highlight w:val="none"/>
        </w:rPr>
        <w:t>第十</w:t>
      </w:r>
      <w:r>
        <w:rPr>
          <w:rFonts w:hint="eastAsia" w:ascii="宋体" w:hAnsi="宋体"/>
          <w:bCs/>
          <w:color w:val="auto"/>
          <w:sz w:val="24"/>
          <w:szCs w:val="24"/>
          <w:highlight w:val="none"/>
          <w:lang w:eastAsia="zh-CN"/>
        </w:rPr>
        <w:t>三</w:t>
      </w:r>
      <w:r>
        <w:rPr>
          <w:rFonts w:hint="eastAsia" w:ascii="宋体" w:hAnsi="宋体"/>
          <w:bCs/>
          <w:color w:val="auto"/>
          <w:sz w:val="24"/>
          <w:szCs w:val="24"/>
          <w:highlight w:val="none"/>
        </w:rPr>
        <w:t>条 合同文件</w:t>
      </w:r>
      <w:bookmarkEnd w:id="14"/>
    </w:p>
    <w:p w14:paraId="26DF1B1B">
      <w:pPr>
        <w:snapToGrid w:val="0"/>
        <w:spacing w:before="120" w:beforeLines="50" w:after="120" w:afterLines="50" w:line="360" w:lineRule="auto"/>
        <w:ind w:firstLine="480" w:firstLineChars="200"/>
        <w:textAlignment w:val="baseline"/>
        <w:rPr>
          <w:rFonts w:hint="eastAsia" w:ascii="宋体" w:hAnsi="宋体"/>
          <w:bCs/>
          <w:color w:val="auto"/>
          <w:sz w:val="24"/>
          <w:szCs w:val="24"/>
          <w:highlight w:val="none"/>
        </w:rPr>
      </w:pPr>
      <w:r>
        <w:rPr>
          <w:rFonts w:hint="eastAsia" w:ascii="宋体" w:hAnsi="宋体"/>
          <w:bCs/>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1C2BEE46">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1.本合同书</w:t>
      </w:r>
    </w:p>
    <w:p w14:paraId="5CCCD538">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2.成交通知书</w:t>
      </w:r>
    </w:p>
    <w:p w14:paraId="4D572326">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3.协议</w:t>
      </w:r>
    </w:p>
    <w:p w14:paraId="333D63F9">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4.</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文件(含澄清或者修改文件)</w:t>
      </w:r>
    </w:p>
    <w:p w14:paraId="02A48A79">
      <w:pPr>
        <w:snapToGrid w:val="0"/>
        <w:spacing w:line="360" w:lineRule="auto"/>
        <w:ind w:firstLine="539"/>
        <w:rPr>
          <w:rFonts w:hint="eastAsia" w:ascii="宋体" w:hAnsi="宋体" w:eastAsia="宋体"/>
          <w:bCs/>
          <w:color w:val="auto"/>
          <w:sz w:val="24"/>
          <w:szCs w:val="24"/>
          <w:highlight w:val="none"/>
          <w:lang w:eastAsia="zh-CN"/>
        </w:rPr>
      </w:pPr>
      <w:r>
        <w:rPr>
          <w:rFonts w:hint="eastAsia" w:ascii="宋体" w:hAnsi="宋体"/>
          <w:bCs/>
          <w:color w:val="auto"/>
          <w:sz w:val="24"/>
          <w:szCs w:val="24"/>
          <w:highlight w:val="none"/>
        </w:rPr>
        <w:t>5.</w:t>
      </w:r>
      <w:r>
        <w:rPr>
          <w:rFonts w:hint="eastAsia" w:ascii="宋体" w:hAnsi="宋体"/>
          <w:bCs/>
          <w:color w:val="auto"/>
          <w:sz w:val="24"/>
          <w:szCs w:val="24"/>
          <w:highlight w:val="none"/>
          <w:lang w:eastAsia="zh-CN"/>
        </w:rPr>
        <w:t>投标文件</w:t>
      </w:r>
    </w:p>
    <w:p w14:paraId="2FA22141">
      <w:pPr>
        <w:snapToGrid w:val="0"/>
        <w:spacing w:before="120" w:beforeLines="50" w:after="120" w:afterLines="50" w:line="360" w:lineRule="auto"/>
        <w:ind w:firstLine="360" w:firstLineChars="150"/>
        <w:rPr>
          <w:rFonts w:hint="eastAsia"/>
          <w:bCs/>
          <w:color w:val="auto"/>
          <w:kern w:val="0"/>
          <w:sz w:val="24"/>
          <w:szCs w:val="24"/>
          <w:highlight w:val="none"/>
        </w:rPr>
      </w:pPr>
      <w:bookmarkStart w:id="15" w:name="_Toc697_WPSOffice_Level2"/>
      <w:r>
        <w:rPr>
          <w:rFonts w:hint="eastAsia"/>
          <w:bCs/>
          <w:color w:val="auto"/>
          <w:sz w:val="24"/>
          <w:szCs w:val="24"/>
          <w:highlight w:val="none"/>
        </w:rPr>
        <w:t>第十</w:t>
      </w:r>
      <w:r>
        <w:rPr>
          <w:rFonts w:hint="eastAsia"/>
          <w:bCs/>
          <w:color w:val="auto"/>
          <w:sz w:val="24"/>
          <w:szCs w:val="24"/>
          <w:highlight w:val="none"/>
          <w:lang w:eastAsia="zh-CN"/>
        </w:rPr>
        <w:t>四</w:t>
      </w:r>
      <w:r>
        <w:rPr>
          <w:rFonts w:hint="eastAsia"/>
          <w:bCs/>
          <w:color w:val="auto"/>
          <w:sz w:val="24"/>
          <w:szCs w:val="24"/>
          <w:highlight w:val="none"/>
        </w:rPr>
        <w:t xml:space="preserve">条 </w:t>
      </w:r>
      <w:r>
        <w:rPr>
          <w:rFonts w:hint="eastAsia"/>
          <w:bCs/>
          <w:color w:val="auto"/>
          <w:kern w:val="0"/>
          <w:sz w:val="24"/>
          <w:szCs w:val="24"/>
          <w:highlight w:val="none"/>
        </w:rPr>
        <w:t>合同生效及其他</w:t>
      </w:r>
      <w:bookmarkEnd w:id="15"/>
    </w:p>
    <w:p w14:paraId="5432ADE7">
      <w:pPr>
        <w:snapToGrid w:val="0"/>
        <w:spacing w:line="360" w:lineRule="auto"/>
        <w:ind w:firstLine="539"/>
        <w:rPr>
          <w:rFonts w:hint="eastAsia" w:ascii="宋体" w:hAnsi="宋体"/>
          <w:bCs/>
          <w:color w:val="auto"/>
          <w:sz w:val="24"/>
          <w:szCs w:val="24"/>
          <w:highlight w:val="none"/>
        </w:rPr>
      </w:pPr>
      <w:r>
        <w:rPr>
          <w:rFonts w:hint="eastAsia" w:ascii="宋体" w:hAnsi="宋体" w:cs="宋体"/>
          <w:bCs/>
          <w:color w:val="auto"/>
          <w:kern w:val="0"/>
          <w:sz w:val="24"/>
          <w:szCs w:val="24"/>
          <w:highlight w:val="none"/>
        </w:rPr>
        <w:t>1.</w:t>
      </w:r>
      <w:r>
        <w:rPr>
          <w:rFonts w:hint="eastAsia" w:ascii="宋体" w:hAnsi="宋体"/>
          <w:bCs/>
          <w:color w:val="auto"/>
          <w:sz w:val="24"/>
          <w:szCs w:val="24"/>
          <w:highlight w:val="none"/>
        </w:rPr>
        <w:t>如有未尽事宜，由双方依法订立补充合同。</w:t>
      </w:r>
    </w:p>
    <w:p w14:paraId="7C5D7B87">
      <w:pPr>
        <w:snapToGrid w:val="0"/>
        <w:spacing w:line="360" w:lineRule="auto"/>
        <w:ind w:firstLine="539"/>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2.本合同自签订之日起生效。</w:t>
      </w:r>
    </w:p>
    <w:p w14:paraId="61E957EC">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kern w:val="0"/>
          <w:sz w:val="24"/>
          <w:szCs w:val="24"/>
          <w:highlight w:val="none"/>
        </w:rPr>
        <w:t>3.本合同一式</w:t>
      </w:r>
      <w:r>
        <w:rPr>
          <w:rFonts w:hint="eastAsia" w:ascii="宋体" w:hAnsi="宋体"/>
          <w:bCs/>
          <w:color w:val="auto"/>
          <w:kern w:val="0"/>
          <w:sz w:val="24"/>
          <w:szCs w:val="24"/>
          <w:highlight w:val="none"/>
          <w:u w:val="single"/>
        </w:rPr>
        <w:t>陆</w:t>
      </w:r>
      <w:r>
        <w:rPr>
          <w:rFonts w:hint="eastAsia" w:ascii="宋体" w:hAnsi="宋体"/>
          <w:bCs/>
          <w:color w:val="auto"/>
          <w:kern w:val="0"/>
          <w:sz w:val="24"/>
          <w:szCs w:val="24"/>
          <w:highlight w:val="none"/>
        </w:rPr>
        <w:t>份，具有同等法律效力，甲乙双方各执</w:t>
      </w:r>
      <w:r>
        <w:rPr>
          <w:rFonts w:hint="eastAsia" w:ascii="宋体" w:hAnsi="宋体"/>
          <w:bCs/>
          <w:color w:val="auto"/>
          <w:kern w:val="0"/>
          <w:sz w:val="24"/>
          <w:szCs w:val="24"/>
          <w:highlight w:val="none"/>
          <w:u w:val="single"/>
        </w:rPr>
        <w:t>贰</w:t>
      </w:r>
      <w:r>
        <w:rPr>
          <w:rFonts w:hint="eastAsia" w:ascii="宋体" w:hAnsi="宋体"/>
          <w:bCs/>
          <w:color w:val="auto"/>
          <w:kern w:val="0"/>
          <w:sz w:val="24"/>
          <w:szCs w:val="24"/>
          <w:highlight w:val="none"/>
        </w:rPr>
        <w:t>份，一份报送政府采购监督管理部门备案，一份采购代理机构存档。</w:t>
      </w:r>
    </w:p>
    <w:p w14:paraId="24C78D15">
      <w:pPr>
        <w:spacing w:line="360" w:lineRule="auto"/>
        <w:ind w:firstLine="480" w:firstLineChars="200"/>
        <w:rPr>
          <w:rFonts w:hint="eastAsia" w:ascii="宋体" w:hAnsi="宋体"/>
          <w:bCs/>
          <w:color w:val="auto"/>
          <w:sz w:val="24"/>
          <w:szCs w:val="24"/>
          <w:highlight w:val="none"/>
        </w:rPr>
      </w:pPr>
    </w:p>
    <w:p w14:paraId="3ADCF350">
      <w:pPr>
        <w:spacing w:line="360" w:lineRule="auto"/>
        <w:ind w:firstLine="480" w:firstLineChars="200"/>
        <w:rPr>
          <w:rFonts w:hint="eastAsia" w:ascii="宋体" w:hAnsi="宋体"/>
          <w:bCs/>
          <w:color w:val="auto"/>
          <w:sz w:val="24"/>
          <w:szCs w:val="24"/>
          <w:highlight w:val="none"/>
        </w:rPr>
      </w:pPr>
    </w:p>
    <w:p w14:paraId="7C368729">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br w:type="page"/>
      </w:r>
      <w:r>
        <w:rPr>
          <w:rFonts w:hint="eastAsia" w:ascii="宋体" w:hAnsi="宋体"/>
          <w:bCs/>
          <w:color w:val="auto"/>
          <w:sz w:val="24"/>
          <w:szCs w:val="24"/>
          <w:highlight w:val="none"/>
        </w:rPr>
        <w:t xml:space="preserve">甲方：   （盖章）     </w:t>
      </w:r>
      <w:r>
        <w:rPr>
          <w:rFonts w:hint="eastAsia" w:ascii="宋体" w:hAnsi="宋体"/>
          <w:bCs/>
          <w:color w:val="auto"/>
          <w:sz w:val="24"/>
          <w:szCs w:val="24"/>
          <w:highlight w:val="none"/>
          <w:lang w:val="en-US" w:eastAsia="zh-CN"/>
        </w:rPr>
        <w:t xml:space="preserve">            </w:t>
      </w:r>
      <w:r>
        <w:rPr>
          <w:rFonts w:hint="eastAsia" w:ascii="宋体" w:hAnsi="宋体"/>
          <w:bCs/>
          <w:color w:val="auto"/>
          <w:sz w:val="24"/>
          <w:szCs w:val="24"/>
          <w:highlight w:val="none"/>
        </w:rPr>
        <w:t xml:space="preserve"> 乙方：   （盖章）</w:t>
      </w:r>
    </w:p>
    <w:p w14:paraId="12136ADF">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法定代表人/委托代理人：            法定代表人/委托代理人：</w:t>
      </w:r>
    </w:p>
    <w:p w14:paraId="6B808192">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地    址：                         地    址：</w:t>
      </w:r>
    </w:p>
    <w:p w14:paraId="39A81B3E">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开户银行：                         开户银行：</w:t>
      </w:r>
    </w:p>
    <w:p w14:paraId="16CA17EC">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账    号：                         账    号：</w:t>
      </w:r>
    </w:p>
    <w:p w14:paraId="7C111893">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电    话：                         电    话：</w:t>
      </w:r>
    </w:p>
    <w:p w14:paraId="13A5AF5D">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传    真：                         传    真：</w:t>
      </w:r>
    </w:p>
    <w:p w14:paraId="7E6E1255">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签约日期：    年  月  日           签约日期：    年  月  日</w:t>
      </w:r>
    </w:p>
    <w:p w14:paraId="4601782D">
      <w:pPr>
        <w:spacing w:line="400" w:lineRule="exact"/>
        <w:ind w:firstLine="480" w:firstLineChars="200"/>
        <w:rPr>
          <w:rFonts w:hint="eastAsia" w:ascii="仿宋_GB2312" w:eastAsia="仿宋_GB2312"/>
          <w:bCs/>
          <w:color w:val="auto"/>
          <w:sz w:val="24"/>
          <w:szCs w:val="24"/>
          <w:highlight w:val="none"/>
        </w:rPr>
      </w:pPr>
    </w:p>
    <w:p w14:paraId="23C98817">
      <w:pPr>
        <w:pStyle w:val="7"/>
        <w:spacing w:line="48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见证方：</w:t>
      </w:r>
      <w:r>
        <w:rPr>
          <w:rFonts w:hint="eastAsia" w:ascii="宋体" w:hAnsi="宋体" w:eastAsia="宋体" w:cs="宋体"/>
          <w:sz w:val="24"/>
          <w:szCs w:val="24"/>
          <w:lang w:val="en-US" w:eastAsia="zh-CN"/>
        </w:rPr>
        <w:t xml:space="preserve">   （盖章）</w:t>
      </w:r>
    </w:p>
    <w:p w14:paraId="690A0A50">
      <w:pPr>
        <w:spacing w:line="480" w:lineRule="auto"/>
        <w:ind w:firstLine="480" w:firstLineChars="200"/>
        <w:jc w:val="left"/>
        <w:rPr>
          <w:rFonts w:hint="eastAsia" w:ascii="宋体" w:hAnsi="宋体" w:eastAsia="宋体" w:cs="宋体"/>
          <w:sz w:val="24"/>
          <w:szCs w:val="24"/>
        </w:rPr>
      </w:pPr>
      <w:r>
        <w:rPr>
          <w:rFonts w:hint="eastAsia" w:ascii="宋体" w:hAnsi="宋体"/>
          <w:bCs/>
          <w:color w:val="auto"/>
          <w:sz w:val="24"/>
          <w:szCs w:val="24"/>
          <w:highlight w:val="none"/>
        </w:rPr>
        <w:t xml:space="preserve">签约日期：    年  月  日  </w:t>
      </w:r>
    </w:p>
    <w:bookmarkEnd w:id="0"/>
    <w:p w14:paraId="6552E924">
      <w:pPr>
        <w:rPr>
          <w:rFonts w:hint="eastAsia" w:ascii="宋体" w:hAnsi="宋体" w:cs="宋体"/>
          <w:sz w:val="24"/>
          <w:szCs w:val="24"/>
        </w:rPr>
      </w:pPr>
    </w:p>
    <w:p w14:paraId="1331CC6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YzNWExYzJmNzc5MzI3N2Y2MzVhODVlNDg3YjkifQ=="/>
  </w:docVars>
  <w:rsids>
    <w:rsidRoot w:val="00000000"/>
    <w:rsid w:val="12107D96"/>
    <w:rsid w:val="26645622"/>
    <w:rsid w:val="478A148A"/>
    <w:rsid w:val="4DA208AC"/>
    <w:rsid w:val="57B11897"/>
    <w:rsid w:val="64B95C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line="576" w:lineRule="auto"/>
      <w:jc w:val="center"/>
      <w:outlineLvl w:val="0"/>
    </w:pPr>
    <w:rPr>
      <w:rFonts w:ascii="Cambria" w:hAnsi="Cambria" w:eastAsia="Arial"/>
      <w:b/>
      <w:kern w:val="44"/>
      <w:sz w:val="32"/>
      <w:szCs w:val="20"/>
    </w:rPr>
  </w:style>
  <w:style w:type="paragraph" w:styleId="4">
    <w:name w:val="heading 2"/>
    <w:basedOn w:val="1"/>
    <w:next w:val="1"/>
    <w:link w:val="11"/>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character" w:default="1" w:styleId="10">
    <w:name w:val="Default Paragraph Font"/>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 w:type="paragraph" w:styleId="5">
    <w:name w:val="Normal Indent"/>
    <w:basedOn w:val="1"/>
    <w:next w:val="6"/>
    <w:qFormat/>
    <w:uiPriority w:val="0"/>
    <w:pPr>
      <w:ind w:firstLine="420"/>
    </w:pPr>
    <w:rPr>
      <w:szCs w:val="20"/>
    </w:rPr>
  </w:style>
  <w:style w:type="paragraph" w:styleId="6">
    <w:name w:val="toc 4"/>
    <w:basedOn w:val="1"/>
    <w:next w:val="1"/>
    <w:qFormat/>
    <w:uiPriority w:val="31"/>
    <w:pPr>
      <w:ind w:left="1275"/>
    </w:pPr>
    <w:rPr>
      <w:sz w:val="21"/>
      <w:szCs w:val="21"/>
    </w:rPr>
  </w:style>
  <w:style w:type="paragraph" w:styleId="7">
    <w:name w:val="Plain Text"/>
    <w:basedOn w:val="1"/>
    <w:qFormat/>
    <w:uiPriority w:val="0"/>
    <w:pPr>
      <w:spacing w:line="324" w:lineRule="auto"/>
    </w:pPr>
    <w:rPr>
      <w:rFonts w:ascii="Arial" w:hAnsi="楷体"/>
      <w:kern w:val="0"/>
      <w:sz w:val="20"/>
      <w:szCs w:val="21"/>
    </w:rPr>
  </w:style>
  <w:style w:type="paragraph" w:styleId="8">
    <w:name w:val="Normal (Web)"/>
    <w:basedOn w:val="1"/>
    <w:qFormat/>
    <w:uiPriority w:val="0"/>
    <w:pPr>
      <w:widowControl/>
      <w:spacing w:before="100" w:beforeLines="0" w:beforeAutospacing="1" w:after="100" w:afterLines="0" w:afterAutospacing="1"/>
      <w:jc w:val="left"/>
    </w:pPr>
    <w:rPr>
      <w:rFonts w:ascii="Arial" w:hAnsi="Arial" w:cs="Arial"/>
      <w:kern w:val="0"/>
      <w:sz w:val="24"/>
      <w:szCs w:val="24"/>
    </w:rPr>
  </w:style>
  <w:style w:type="character" w:customStyle="1" w:styleId="11">
    <w:name w:val="标题 2 Char"/>
    <w:basedOn w:val="10"/>
    <w:link w:val="4"/>
    <w:qFormat/>
    <w:uiPriority w:val="9"/>
    <w:rPr>
      <w:rFonts w:ascii="Cambria" w:hAnsi="Cambria" w:eastAsia="宋体" w:cs="Times New Roman"/>
      <w:b/>
      <w:bCs/>
      <w:sz w:val="32"/>
      <w:szCs w:val="32"/>
    </w:rPr>
  </w:style>
  <w:style w:type="paragraph" w:customStyle="1" w:styleId="12">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3221</Words>
  <Characters>3296</Characters>
  <Lines>0</Lines>
  <Paragraphs>0</Paragraphs>
  <TotalTime>0</TotalTime>
  <ScaleCrop>false</ScaleCrop>
  <LinksUpToDate>false</LinksUpToDate>
  <CharactersWithSpaces>3593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2025-10-11T07:57:23Z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5AD206B96C42482D801E78D53C4C3432_13</vt:lpwstr>
  </property>
  <property fmtid="{D5CDD505-2E9C-101B-9397-08002B2CF9AE}" pid="4" name="KSOTemplateDocerSaveRecord">
    <vt:lpwstr>eyJoZGlkIjoiOWRkYWJjMGI3NGU0YmE5NTE3ZDEwOTc3YWU0ODhlZjkiLCJ1c2VySWQiOiI0NTMzNDYxODAifQ==</vt:lpwstr>
  </property>
</Properties>
</file>