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版本号：SXCFY2025100320251015001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蒲城县城市地下管网管廊及设施建设改造实施方案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SXCFY20251003</w:t>
      </w:r>
      <w:r>
        <w:br/>
      </w:r>
      <w:r>
        <w:br/>
      </w:r>
      <w:r>
        <w:br/>
      </w:r>
    </w:p>
    <w:p>
      <w:pPr>
        <w:pStyle w:val="null3"/>
        <w:jc w:val="center"/>
        <w:outlineLvl w:val="2"/>
      </w:pPr>
      <w:r>
        <w:rPr>
          <w:rFonts w:ascii="仿宋_GB2312" w:hAnsi="仿宋_GB2312" w:cs="仿宋_GB2312" w:eastAsia="仿宋_GB2312"/>
          <w:sz w:val="28"/>
          <w:b/>
        </w:rPr>
        <w:t>蒲城县住房和城乡建设局</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蒲城县住房和城乡建设局</w:t>
      </w:r>
      <w:r>
        <w:rPr>
          <w:rFonts w:ascii="仿宋_GB2312" w:hAnsi="仿宋_GB2312" w:cs="仿宋_GB2312" w:eastAsia="仿宋_GB2312"/>
        </w:rPr>
        <w:t>委托，拟对</w:t>
      </w:r>
      <w:r>
        <w:rPr>
          <w:rFonts w:ascii="仿宋_GB2312" w:hAnsi="仿宋_GB2312" w:cs="仿宋_GB2312" w:eastAsia="仿宋_GB2312"/>
        </w:rPr>
        <w:t>蒲城县城市地下管网管廊及设施建设改造实施方案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SXCFY20251003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蒲城县城市地下管网管廊及设施建设改造实施方案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蒲城县城市地下管网管廊及设施建设改造实施方案编制，含文本、图册、附件及方案;完善城区地下管网设施安全，提高城市综合承载能力等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采购包1（蒲城县城市地下管网管廊及设施建设改造实施方案）：属于专门面向中小企业采购。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1、法定代表人或其授权代表：法定代表人直接参加磋商的，须出具法定代表人身份证明书；法定代表人授权代表参加磋商的，须出具法定代表人授权委托书</w:t>
      </w:r>
    </w:p>
    <w:p>
      <w:pPr>
        <w:pStyle w:val="null3"/>
      </w:pPr>
      <w:r>
        <w:rPr>
          <w:rFonts w:ascii="仿宋_GB2312" w:hAnsi="仿宋_GB2312" w:cs="仿宋_GB2312" w:eastAsia="仿宋_GB2312"/>
        </w:rPr>
        <w:t>2、资质：供应商须具备行政主管部门颁发的城乡规划编制乙级及以上资质，拟派项目负责人须具备注册城乡规划师资格证书；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陕西省渭南市蒲城县城关镇古镇巷1号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0913-7205883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w:t>
            </w:r>
          </w:p>
          <w:p>
            <w:pPr>
              <w:pStyle w:val="null3"/>
            </w:pPr>
            <w:r>
              <w:rPr>
                <w:rFonts w:ascii="仿宋_GB2312" w:hAnsi="仿宋_GB2312" w:cs="仿宋_GB2312" w:eastAsia="仿宋_GB2312"/>
              </w:rPr>
              <w:t>开户银行：中信银行股份有限公司西安咸宁路支行</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 2、采购代理服务费账户：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蒲城县住房和城乡建设局</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根据蒲城县建设要求和特点，编制蒲城县城市地下管网管廊及设施建设改造实施方案编制，含文本、图册、附件及方案;完善城区地下管网设施安全，提高城市综合承载能力等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蒲城县城市地下管网管廊及设施建设改造实施方案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标的名称：蒲城县城市地下管网管廊及设施建设改造实施方案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编制《</w:t>
            </w:r>
            <w:r>
              <w:rPr>
                <w:rFonts w:ascii="仿宋_GB2312" w:hAnsi="仿宋_GB2312" w:cs="仿宋_GB2312" w:eastAsia="仿宋_GB2312"/>
                <w:sz w:val="28"/>
              </w:rPr>
              <w:t>蒲城县城市地下管网管廊及设施建设改造实施方案</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质量标准：</w:t>
            </w:r>
            <w:r>
              <w:rPr>
                <w:rFonts w:ascii="仿宋_GB2312" w:hAnsi="仿宋_GB2312" w:cs="仿宋_GB2312" w:eastAsia="仿宋_GB2312"/>
                <w:sz w:val="28"/>
              </w:rPr>
              <w:t>质量符合国家、省、市相关技术规范要求。</w:t>
            </w:r>
          </w:p>
          <w:p>
            <w:pPr>
              <w:pStyle w:val="null3"/>
              <w:jc w:val="both"/>
            </w:pPr>
            <w:r>
              <w:rPr>
                <w:rFonts w:ascii="仿宋_GB2312" w:hAnsi="仿宋_GB2312" w:cs="仿宋_GB2312" w:eastAsia="仿宋_GB2312"/>
                <w:sz w:val="28"/>
              </w:rPr>
              <w:t>项目实施要求：</w:t>
            </w:r>
            <w:r>
              <w:rPr>
                <w:rFonts w:ascii="仿宋_GB2312" w:hAnsi="仿宋_GB2312" w:cs="仿宋_GB2312" w:eastAsia="仿宋_GB2312"/>
                <w:sz w:val="28"/>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 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自合同签订之日起120天提交服务成果文件。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符合采购文件和乙方响应文件标准和要求以及国家相关技术标准，并在成果文件完成后，由专家小组进行评审，经过专家小组评审后一致认为已达到要求视为合格。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提交成果文件，验收合格后一次性支付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1、成交单位在中标(成交)结果公告结束后3个工作日内向采购代理机构提供纸质版投标文件正本一份，副本二份。 2、保证金缴纳时应备注“SXCFY20251003磋商保证金”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附基本户开户许可证）；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供应商需在项目电子化交易系统中按要求填写《投标函》及《供应商企业关系关联承诺书》完成承诺并进行电子签章。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基本资格要求.docx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供应商须具备行政主管部门颁发的城乡规划编制乙级及以上资质，拟派项目负责人须具备注册城乡规划师资格证书；</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磋商响应文件的签字盖章符合采购文件要求</w:t>
            </w:r>
          </w:p>
        </w:tc>
        <w:tc>
          <w:tcPr>
            <w:tcW w:type="dxa" w:w="1661"/>
          </w:tcPr>
          <w:p>
            <w:pPr>
              <w:pStyle w:val="null3"/>
            </w:pPr>
            <w:r>
              <w:rPr>
                <w:rFonts w:ascii="仿宋_GB2312" w:hAnsi="仿宋_GB2312" w:cs="仿宋_GB2312" w:eastAsia="仿宋_GB2312"/>
              </w:rPr>
              <w:t>6、后续服务方案.docx 中小企业声明函 商务应答表 1、项目总体思路.docx 服务内容及服务要求应答表 报价表 2、技术服务方案.docx 响应文件封面 特殊资格要求.docx 残疾人福利性单位声明函 7、拟投入本项目人员.docx 4、服务方案.docx 8、业绩.docx 标的清单 5、工作组织与进度安排.docx 3、保障服务方案.docx 响应函 基本资格要求.docx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项目总体思路</w:t>
            </w:r>
          </w:p>
        </w:tc>
        <w:tc>
          <w:tcPr>
            <w:tcW w:type="dxa" w:w="2492"/>
          </w:tcPr>
          <w:p>
            <w:pPr>
              <w:pStyle w:val="null3"/>
            </w:pPr>
            <w:r>
              <w:rPr>
                <w:rFonts w:ascii="仿宋_GB2312" w:hAnsi="仿宋_GB2312" w:cs="仿宋_GB2312" w:eastAsia="仿宋_GB2312"/>
              </w:rPr>
              <w:t>一、评审内容 本项目总体思路，符合国家及地方有关技术规范及标准规定，以及本项目工作背景、目的和工作范围认识准确性、深入程度等，符合磋商文件要求，内容包括：①本项目的基本情况和背景；②工作理解、工作思路。 二、评审标准 1、完整性：方案须全面，对评审内容中的各项要求有详细描述及说明； 2、可实施性：切合本项目实际情况，实施步骤清晰、合理； 3、针对性：方案能够紧扣项目实际情况，内容科学合理。 三、赋分标准（满分12分） ①本项目的基本情况和背景：每完全满足一项评审标准2分，满分6分； ②工作理解、工作思路:每完全满足一项评审标准得2分，满分6分。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1、项目总体思路.docx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规划修编技术服务方案结构清晰、内容完整、表述准确、归纳凝练， 方案中工作程序、工作方法科学严谨及深度切实可行，明确规范性条款、 技术标准、方法、工作重点与技术难点等。 二、评审标准 1、完整性：方案须全面，对评审内容中的各项要求有详细描述及说明； 2、可实施性：切合本项目实际情况，实施步骤清晰、合理； 3、针对性：方案能够紧扣项目实际情况，内容科学合理。 三、赋分标准（满分15分） 规划修编技术服务方案：每完全满足一项评审标准5分，满分15分。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2、技术服务方案.docx</w:t>
            </w:r>
          </w:p>
        </w:tc>
      </w:tr>
      <w:tr>
        <w:tc>
          <w:tcPr>
            <w:tcW w:type="dxa" w:w="831"/>
            <w:vMerge/>
          </w:tcPr>
          <w:p/>
        </w:tc>
        <w:tc>
          <w:tcPr>
            <w:tcW w:type="dxa" w:w="1661"/>
          </w:tcPr>
          <w:p>
            <w:pPr>
              <w:pStyle w:val="null3"/>
            </w:pPr>
            <w:r>
              <w:rPr>
                <w:rFonts w:ascii="仿宋_GB2312" w:hAnsi="仿宋_GB2312" w:cs="仿宋_GB2312" w:eastAsia="仿宋_GB2312"/>
              </w:rPr>
              <w:t>保障服务方案</w:t>
            </w:r>
          </w:p>
        </w:tc>
        <w:tc>
          <w:tcPr>
            <w:tcW w:type="dxa" w:w="2492"/>
          </w:tcPr>
          <w:p>
            <w:pPr>
              <w:pStyle w:val="null3"/>
            </w:pPr>
            <w:r>
              <w:rPr>
                <w:rFonts w:ascii="仿宋_GB2312" w:hAnsi="仿宋_GB2312" w:cs="仿宋_GB2312" w:eastAsia="仿宋_GB2312"/>
              </w:rPr>
              <w:t>一、评审内容 服务期保障服务方案，提供的实施进度计划及工期保证措施方案， 且有实施的工期保障服务承诺等，内容包括：①施进度计划； ②工期保证措施方案； ③实施的工期保障服务承诺。 二、评审标准 1、完整性：方案须全面，对评审内容中的各项要求有详细描述及说明； 2、可实施性：切合本项目实际情况，实施步骤清晰、合理； 3、针对性：方案能够紧扣项目实际情况，内容科学合理。 三、赋分标准（满分9分） ①施进度计划：每完全满足一项评审标准1分，满分3分； ②工期保证措施方案：每完全满足一项评审标准得1分，满分3分； ③实施的工期保障服务承诺：每完全满足一项评审标准得1分，满分3分。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3、保障服务方案.docx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对本项目制定服务质量方案、技术服务流程、技术档案管理、人员组织及保障情况，内容包括：①制定服务质量方案； ②技术服务流程，③技术档案管理，④人员组织及保障情况。 二、评审标准 1、完整性：方案须全面，对评审内容中的各项要求有详细描述及说明； 2、可实施性：切合本项目实际情况，实施步骤清晰、合理； 3、针对性：方案能够紧扣项目实际情况，内容科学合理。 三、赋分标准（满分12分） ①制定服务质量方案：每完全满足一项评审标准1分，满分3分； ②技术服务流程:每完全满足一项评审标准得1分，满分3分； ③技术档案管理：每完全满足一项评审标准1分，满分3分 ④人员组织及保障情况:每完全满足一项评审标准得1分，满分3分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4、服务方案.docx</w:t>
            </w:r>
          </w:p>
        </w:tc>
      </w:tr>
      <w:tr>
        <w:tc>
          <w:tcPr>
            <w:tcW w:type="dxa" w:w="831"/>
            <w:vMerge/>
          </w:tcPr>
          <w:p/>
        </w:tc>
        <w:tc>
          <w:tcPr>
            <w:tcW w:type="dxa" w:w="1661"/>
          </w:tcPr>
          <w:p>
            <w:pPr>
              <w:pStyle w:val="null3"/>
            </w:pPr>
            <w:r>
              <w:rPr>
                <w:rFonts w:ascii="仿宋_GB2312" w:hAnsi="仿宋_GB2312" w:cs="仿宋_GB2312" w:eastAsia="仿宋_GB2312"/>
              </w:rPr>
              <w:t>工作组织与项目进度安排</w:t>
            </w:r>
          </w:p>
        </w:tc>
        <w:tc>
          <w:tcPr>
            <w:tcW w:type="dxa" w:w="2492"/>
          </w:tcPr>
          <w:p>
            <w:pPr>
              <w:pStyle w:val="null3"/>
            </w:pPr>
            <w:r>
              <w:rPr>
                <w:rFonts w:ascii="仿宋_GB2312" w:hAnsi="仿宋_GB2312" w:cs="仿宋_GB2312" w:eastAsia="仿宋_GB2312"/>
              </w:rPr>
              <w:t>一、评审内容 针对本项目服务内容提出工作组织与项目进度安排，内容包括：①工作总体安排； ②项目进度安排。 二、评审标准 1、完整性：方案须全面，对评审内容中的各项要求有详细描述及说明； 2、可实施性：切合本项目实际情况，实施步骤清晰、合理； 3、针对性：方案能够紧扣项目实际情况，内容科学合理。 三、赋分标准（满分6分） ①工作总体安排：每完全满足一项评审标准1分，满分3分； ②项目进度安排:每完全满足一项评审标准得1分，满分3分。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5、工作组织与进度安排.docx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针对本项目提供的详细的后续服务方案，后续服务方案包含后续服务人员实力、保证措施、服务流程、响应速度、服务承诺等，内容包括：①后续服务人员实力； ②保证措施；③服务流程；④响应速度；⑤服务承诺。 二、评审标准 1、完整性：方案须全面，对评审内容中的各项要求有详细描述及说明； 2、可实施性：切合本项目实际情况，实施步骤清晰、合理； 3、针对性：方案能够紧扣项目实际情况，内容科学合理。 三、赋分标准（满分9分） ①后续服务人员实力：每完全满足一项评审标准1分，满分3分； ②保证措施:每完全满足一项评审标准得0.5分，满分1.5分； ③服务流程：每完全满足一项评审标准得0.5分，满分1.5分； ④响应速度：每完全满足一项评审标准得0.5分，满分1.5分； ⑤服务承诺：每完全满足一项评审标准得0.5分，满分1.5分；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6、后续服务方案.docx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拟投入本项目的项目负责人：①职称：具有城乡规划（城市规划）或市政相关专业中级职称人员得2分，高级职称得4分；②注册证：具有城乡规划（城市规划）或市政相关专业注册证得4分。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7、拟投入本项目人员.docx</w:t>
            </w:r>
          </w:p>
        </w:tc>
      </w:tr>
      <w:tr>
        <w:tc>
          <w:tcPr>
            <w:tcW w:type="dxa" w:w="831"/>
            <w:vMerge/>
          </w:tcPr>
          <w:p/>
        </w:tc>
        <w:tc>
          <w:tcPr>
            <w:tcW w:type="dxa" w:w="1661"/>
          </w:tcPr>
          <w:p>
            <w:pPr>
              <w:pStyle w:val="null3"/>
            </w:pPr>
            <w:r>
              <w:rPr>
                <w:rFonts w:ascii="仿宋_GB2312" w:hAnsi="仿宋_GB2312" w:cs="仿宋_GB2312" w:eastAsia="仿宋_GB2312"/>
              </w:rPr>
              <w:t>项目组成员情况</w:t>
            </w:r>
          </w:p>
        </w:tc>
        <w:tc>
          <w:tcPr>
            <w:tcW w:type="dxa" w:w="2492"/>
          </w:tcPr>
          <w:p>
            <w:pPr>
              <w:pStyle w:val="null3"/>
            </w:pPr>
            <w:r>
              <w:rPr>
                <w:rFonts w:ascii="仿宋_GB2312" w:hAnsi="仿宋_GB2312" w:cs="仿宋_GB2312" w:eastAsia="仿宋_GB2312"/>
              </w:rPr>
              <w:t>拟投入本项目的专业技术人员（不含项目负责人）：每提供一个具备城乡规划（城市规划）或市政相关专业中级职称人员得2分，每提供一个高级职称人员得4分，每提供1个具有城乡规划（城市规划）或市政相关专业注册证人员得4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7、拟投入本项目人员.docx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提供2022年1月至今供应商类似项目业绩，以合同为准，每份3分，最高得9分。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满足竞争性磋商文件要求且最低的磋商报价为评标基准价，其价格分为满分。 各供应商的报价得分按下列公式计算： （基准价/磋商报价）×10×100％。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详见附件：1、项目总体思路.docx</w:t>
      </w:r>
    </w:p>
    <w:p>
      <w:pPr>
        <w:pStyle w:val="null3"/>
        <w:ind w:firstLine="960"/>
      </w:pPr>
      <w:r>
        <w:rPr>
          <w:rFonts w:ascii="仿宋_GB2312" w:hAnsi="仿宋_GB2312" w:cs="仿宋_GB2312" w:eastAsia="仿宋_GB2312"/>
        </w:rPr>
        <w:t>详见附件：2、技术服务方案.docx</w:t>
      </w:r>
    </w:p>
    <w:p>
      <w:pPr>
        <w:pStyle w:val="null3"/>
        <w:ind w:firstLine="960"/>
      </w:pPr>
      <w:r>
        <w:rPr>
          <w:rFonts w:ascii="仿宋_GB2312" w:hAnsi="仿宋_GB2312" w:cs="仿宋_GB2312" w:eastAsia="仿宋_GB2312"/>
        </w:rPr>
        <w:t>详见附件：3、保障服务方案.docx</w:t>
      </w:r>
    </w:p>
    <w:p>
      <w:pPr>
        <w:pStyle w:val="null3"/>
        <w:ind w:firstLine="960"/>
      </w:pPr>
      <w:r>
        <w:rPr>
          <w:rFonts w:ascii="仿宋_GB2312" w:hAnsi="仿宋_GB2312" w:cs="仿宋_GB2312" w:eastAsia="仿宋_GB2312"/>
        </w:rPr>
        <w:t>详见附件：4、服务方案.docx</w:t>
      </w:r>
    </w:p>
    <w:p>
      <w:pPr>
        <w:pStyle w:val="null3"/>
        <w:ind w:firstLine="960"/>
      </w:pPr>
      <w:r>
        <w:rPr>
          <w:rFonts w:ascii="仿宋_GB2312" w:hAnsi="仿宋_GB2312" w:cs="仿宋_GB2312" w:eastAsia="仿宋_GB2312"/>
        </w:rPr>
        <w:t>详见附件：5、工作组织与进度安排.docx</w:t>
      </w:r>
    </w:p>
    <w:p>
      <w:pPr>
        <w:pStyle w:val="null3"/>
        <w:ind w:firstLine="960"/>
      </w:pPr>
      <w:r>
        <w:rPr>
          <w:rFonts w:ascii="仿宋_GB2312" w:hAnsi="仿宋_GB2312" w:cs="仿宋_GB2312" w:eastAsia="仿宋_GB2312"/>
        </w:rPr>
        <w:t>详见附件：6、后续服务方案.docx</w:t>
      </w:r>
    </w:p>
    <w:p>
      <w:pPr>
        <w:pStyle w:val="null3"/>
        <w:ind w:firstLine="960"/>
      </w:pPr>
      <w:r>
        <w:rPr>
          <w:rFonts w:ascii="仿宋_GB2312" w:hAnsi="仿宋_GB2312" w:cs="仿宋_GB2312" w:eastAsia="仿宋_GB2312"/>
        </w:rPr>
        <w:t>详见附件：7、拟投入本项目人员.docx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详见附件：基本资格要求.docx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