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版本号：ZCXG-ZB-202511320251016001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渭北煤化工业园区重大安全风险防控项目监理服务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ZCXG-ZB-2025113</w:t>
      </w:r>
      <w:r>
        <w:br/>
      </w:r>
      <w:r>
        <w:br/>
      </w:r>
      <w:r>
        <w:br/>
      </w:r>
    </w:p>
    <w:p>
      <w:pPr>
        <w:pStyle w:val="null3"/>
        <w:jc w:val="center"/>
        <w:outlineLvl w:val="2"/>
      </w:pPr>
      <w:r>
        <w:rPr>
          <w:rFonts w:ascii="仿宋_GB2312" w:hAnsi="仿宋_GB2312" w:cs="仿宋_GB2312" w:eastAsia="仿宋_GB2312"/>
          <w:sz w:val="28"/>
          <w:b/>
        </w:rPr>
        <w:t>蒲城县应急管理局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蒲城县应急管理局</w:t>
      </w:r>
      <w:r>
        <w:rPr>
          <w:rFonts w:ascii="仿宋_GB2312" w:hAnsi="仿宋_GB2312" w:cs="仿宋_GB2312" w:eastAsia="仿宋_GB2312"/>
        </w:rPr>
        <w:t>委托，拟对</w:t>
      </w:r>
      <w:r>
        <w:rPr>
          <w:rFonts w:ascii="仿宋_GB2312" w:hAnsi="仿宋_GB2312" w:cs="仿宋_GB2312" w:eastAsia="仿宋_GB2312"/>
        </w:rPr>
        <w:t>渭北煤化工业园区重大安全风险防控项目监理服务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渭北煤化工业园区重大安全风险防控项目监理服务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渭北煤化工业园区重大安全风险防控项目监理服务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采购包1（渭北煤化工业园区重大安全风险防控项目监理服务）：属于专门面向中小企业采购。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2、履约能力声明：提供具有履行合同所必需的设备和专业技术能力的承诺；</w:t>
      </w:r>
    </w:p>
    <w:p>
      <w:pPr>
        <w:pStyle w:val="null3"/>
      </w:pPr>
      <w:r>
        <w:rPr>
          <w:rFonts w:ascii="仿宋_GB2312" w:hAnsi="仿宋_GB2312" w:cs="仿宋_GB2312" w:eastAsia="仿宋_GB2312"/>
        </w:rPr>
        <w:t>3、三年无违法声明：参加政府采购活动前3年内，在经营活动中没有重大违法记录的书面声明；</w:t>
      </w:r>
    </w:p>
    <w:p>
      <w:pPr>
        <w:pStyle w:val="null3"/>
      </w:pPr>
      <w:r>
        <w:rPr>
          <w:rFonts w:ascii="仿宋_GB2312" w:hAnsi="仿宋_GB2312" w:cs="仿宋_GB2312" w:eastAsia="仿宋_GB2312"/>
        </w:rPr>
        <w:t>4、社会保障资金缴纳证明：提供响应时间前一年内已缴存的至少一个月的社会保障资金缴存单据或社保机构开具的社会保险参保缴费情况证明，依法不需要缴纳社会保障资金的单位应提供相关证明材料；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7、资质证明：具有工程监理乙级或以上资质证书;</w:t>
      </w:r>
    </w:p>
    <w:p>
      <w:pPr>
        <w:pStyle w:val="null3"/>
      </w:pPr>
      <w:r>
        <w:rPr>
          <w:rFonts w:ascii="仿宋_GB2312" w:hAnsi="仿宋_GB2312" w:cs="仿宋_GB2312" w:eastAsia="仿宋_GB2312"/>
        </w:rPr>
        <w:t>8、非联合体声明：本项目不接受联合体。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渭南市蒲城县东环路长乐街东段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蒲城县应急管理局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渭北煤化工业园区重大安全风险防控项目监理服务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渭北煤化工业园区重大安全风险防控项目监理服务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标的名称：渭北煤化工业园区重大安全风险防控项目监理服务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一、监理目标</w:t>
            </w:r>
          </w:p>
          <w:p>
            <w:pPr>
              <w:pStyle w:val="null3"/>
            </w:pPr>
            <w:r>
              <w:rPr>
                <w:rFonts w:ascii="仿宋_GB2312" w:hAnsi="仿宋_GB2312" w:cs="仿宋_GB2312" w:eastAsia="仿宋_GB2312"/>
                <w:sz w:val="20"/>
              </w:rPr>
              <w:t>在项目实施过程中，通过引入第三方监理服务，进一步规范项目实施工作，提升项目的实施质量与管理水平。按照</w:t>
            </w:r>
            <w:r>
              <w:rPr>
                <w:rFonts w:ascii="仿宋_GB2312" w:hAnsi="仿宋_GB2312" w:cs="仿宋_GB2312" w:eastAsia="仿宋_GB2312"/>
                <w:sz w:val="20"/>
              </w:rPr>
              <w:t>“守法、公平、公正、独立”的原则，依照有关法律法规和标准规范，对采购人负责，为所监理的项目提供全过程监理服务。依靠监理人员提供的专业化监理服务以及科学、有效的管理措施，协助项目采购人做好项目控制与管理，确保项目实施合法、合理、科学、经济，使项目实施的进度、投资、质量达到合同规定的目标。</w:t>
            </w:r>
          </w:p>
          <w:p>
            <w:pPr>
              <w:pStyle w:val="null3"/>
            </w:pPr>
            <w:r>
              <w:rPr>
                <w:rFonts w:ascii="仿宋_GB2312" w:hAnsi="仿宋_GB2312" w:cs="仿宋_GB2312" w:eastAsia="仿宋_GB2312"/>
                <w:sz w:val="20"/>
                <w:b/>
              </w:rPr>
              <w:t>二、监理范围</w:t>
            </w:r>
          </w:p>
          <w:p>
            <w:pPr>
              <w:pStyle w:val="null3"/>
            </w:pPr>
            <w:r>
              <w:rPr>
                <w:rFonts w:ascii="仿宋_GB2312" w:hAnsi="仿宋_GB2312" w:cs="仿宋_GB2312" w:eastAsia="仿宋_GB2312"/>
                <w:sz w:val="20"/>
              </w:rPr>
              <w:t>正确理解本项目的建设目标和内容，要了解本项目相关的组织结构和业务特点，对项目采购单位、实施单位等项目相关方在项目实施过程中对所有实施工作进行监督和管理。</w:t>
            </w:r>
          </w:p>
          <w:p>
            <w:pPr>
              <w:pStyle w:val="null3"/>
            </w:pPr>
            <w:r>
              <w:rPr>
                <w:rFonts w:ascii="仿宋_GB2312" w:hAnsi="仿宋_GB2312" w:cs="仿宋_GB2312" w:eastAsia="仿宋_GB2312"/>
                <w:sz w:val="20"/>
                <w:b/>
              </w:rPr>
              <w:t>三、服务期限</w:t>
            </w:r>
          </w:p>
          <w:p>
            <w:pPr>
              <w:pStyle w:val="null3"/>
            </w:pPr>
            <w:r>
              <w:rPr>
                <w:rFonts w:ascii="仿宋_GB2312" w:hAnsi="仿宋_GB2312" w:cs="仿宋_GB2312" w:eastAsia="仿宋_GB2312"/>
                <w:sz w:val="20"/>
              </w:rPr>
              <w:t>自签订合同之日起</w:t>
            </w:r>
            <w:r>
              <w:rPr>
                <w:rFonts w:ascii="仿宋_GB2312" w:hAnsi="仿宋_GB2312" w:cs="仿宋_GB2312" w:eastAsia="仿宋_GB2312"/>
                <w:sz w:val="20"/>
              </w:rPr>
              <w:t>180日</w:t>
            </w:r>
            <w:r>
              <w:rPr>
                <w:rFonts w:ascii="仿宋_GB2312" w:hAnsi="仿宋_GB2312" w:cs="仿宋_GB2312" w:eastAsia="仿宋_GB2312"/>
                <w:sz w:val="20"/>
              </w:rPr>
              <w:t>。</w:t>
            </w:r>
          </w:p>
          <w:p>
            <w:pPr>
              <w:pStyle w:val="null3"/>
            </w:pPr>
            <w:r>
              <w:rPr>
                <w:rFonts w:ascii="仿宋_GB2312" w:hAnsi="仿宋_GB2312" w:cs="仿宋_GB2312" w:eastAsia="仿宋_GB2312"/>
                <w:sz w:val="20"/>
                <w:b/>
              </w:rPr>
              <w:t>四、监理服务内容</w:t>
            </w:r>
          </w:p>
          <w:p>
            <w:pPr>
              <w:pStyle w:val="null3"/>
            </w:pPr>
            <w:r>
              <w:rPr>
                <w:rFonts w:ascii="仿宋_GB2312" w:hAnsi="仿宋_GB2312" w:cs="仿宋_GB2312" w:eastAsia="仿宋_GB2312"/>
                <w:sz w:val="20"/>
              </w:rPr>
              <w:t>为支撑化工产业聚集区安全风险智能化管控平台建设，按照相关指南，完成感知、监测、预警、处置、评估等方面的基础建设，并将数据接入化工产业聚集区安全风险智能化管控平台。结合实际建设本级危险化学品安全风险智能管控平台，接入化工产业聚集区安全风险智能化管控平台数据，确保上下贯通。本项目主要建设内容如下：</w:t>
            </w:r>
          </w:p>
          <w:p>
            <w:pPr>
              <w:pStyle w:val="null3"/>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）建设化工产业聚集区安全风险智能化管控平台，实现安全管理基础信息、重大危险源安全管理、双重预防机制、特殊作业许可与作业过程管理、智能巡检、人员定位等基础功能。</w:t>
            </w:r>
          </w:p>
          <w:p>
            <w:pPr>
              <w:pStyle w:val="null3"/>
            </w:pPr>
            <w:r>
              <w:rPr>
                <w:rFonts w:ascii="仿宋_GB2312" w:hAnsi="仿宋_GB2312" w:cs="仿宋_GB2312" w:eastAsia="仿宋_GB2312"/>
                <w:sz w:val="20"/>
              </w:rPr>
              <w:t>（二）应用支撑系统包括</w:t>
            </w:r>
            <w:r>
              <w:rPr>
                <w:rFonts w:ascii="仿宋_GB2312" w:hAnsi="仿宋_GB2312" w:cs="仿宋_GB2312" w:eastAsia="仿宋_GB2312"/>
                <w:sz w:val="20"/>
              </w:rPr>
              <w:t>GIS 地理信息平台、中间件、视频监控及智能分析系统、工业互联网平台、数据治理平台、智能防控大模型、标识解析等，汇集安全、应急等数据，实现数据高效利用，并对数据深入挖掘分析，为各业务提供数据支撑。</w:t>
            </w:r>
          </w:p>
          <w:p>
            <w:pPr>
              <w:pStyle w:val="null3"/>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）前端感知设施，主要包括：易燃易爆有毒有害气体泄漏监测管控设备、公共工程安全风险感知设备、封闭化升级改造及其他基础设施建设。</w:t>
            </w:r>
          </w:p>
          <w:p>
            <w:pPr>
              <w:pStyle w:val="null3"/>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）数据处理和存储系统。</w:t>
            </w:r>
          </w:p>
          <w:p>
            <w:pPr>
              <w:pStyle w:val="null3"/>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）网络系统建设。</w:t>
            </w:r>
          </w:p>
          <w:p>
            <w:pPr>
              <w:pStyle w:val="null3"/>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）网络安全建设。</w:t>
            </w:r>
          </w:p>
          <w:p>
            <w:pPr>
              <w:pStyle w:val="null3"/>
            </w:pPr>
            <w:r>
              <w:rPr>
                <w:rFonts w:ascii="仿宋_GB2312" w:hAnsi="仿宋_GB2312" w:cs="仿宋_GB2312" w:eastAsia="仿宋_GB2312"/>
                <w:sz w:val="20"/>
              </w:rPr>
              <w:t>（</w:t>
            </w:r>
            <w:r>
              <w:rPr>
                <w:rFonts w:ascii="仿宋_GB2312" w:hAnsi="仿宋_GB2312" w:cs="仿宋_GB2312" w:eastAsia="仿宋_GB2312"/>
                <w:sz w:val="20"/>
              </w:rPr>
              <w:t>七</w:t>
            </w:r>
            <w:r>
              <w:rPr>
                <w:rFonts w:ascii="仿宋_GB2312" w:hAnsi="仿宋_GB2312" w:cs="仿宋_GB2312" w:eastAsia="仿宋_GB2312"/>
                <w:sz w:val="20"/>
              </w:rPr>
              <w:t>）密码应用建设。</w:t>
            </w:r>
          </w:p>
          <w:p>
            <w:pPr>
              <w:pStyle w:val="null3"/>
            </w:pPr>
            <w:r>
              <w:rPr>
                <w:rFonts w:ascii="仿宋_GB2312" w:hAnsi="仿宋_GB2312" w:cs="仿宋_GB2312" w:eastAsia="仿宋_GB2312"/>
                <w:sz w:val="20"/>
              </w:rPr>
              <w:t>（</w:t>
            </w:r>
            <w:r>
              <w:rPr>
                <w:rFonts w:ascii="仿宋_GB2312" w:hAnsi="仿宋_GB2312" w:cs="仿宋_GB2312" w:eastAsia="仿宋_GB2312"/>
                <w:sz w:val="20"/>
              </w:rPr>
              <w:t>八</w:t>
            </w:r>
            <w:r>
              <w:rPr>
                <w:rFonts w:ascii="仿宋_GB2312" w:hAnsi="仿宋_GB2312" w:cs="仿宋_GB2312" w:eastAsia="仿宋_GB2312"/>
                <w:sz w:val="20"/>
              </w:rPr>
              <w:t>）危险化学品安全预防控制体系。</w:t>
            </w:r>
          </w:p>
          <w:p>
            <w:pPr>
              <w:pStyle w:val="null3"/>
            </w:pPr>
            <w:r>
              <w:rPr>
                <w:rFonts w:ascii="仿宋_GB2312" w:hAnsi="仿宋_GB2312" w:cs="仿宋_GB2312" w:eastAsia="仿宋_GB2312"/>
                <w:sz w:val="20"/>
                <w:b/>
              </w:rPr>
              <w:t>五、监理要求</w:t>
            </w:r>
          </w:p>
          <w:p>
            <w:pPr>
              <w:pStyle w:val="null3"/>
            </w:pPr>
            <w:r>
              <w:rPr>
                <w:rFonts w:ascii="仿宋_GB2312" w:hAnsi="仿宋_GB2312" w:cs="仿宋_GB2312" w:eastAsia="仿宋_GB2312"/>
                <w:sz w:val="20"/>
              </w:rPr>
              <w:t>（一）监理服务目标</w:t>
            </w:r>
          </w:p>
          <w:p>
            <w:pPr>
              <w:pStyle w:val="null3"/>
            </w:pPr>
            <w:r>
              <w:rPr>
                <w:rFonts w:ascii="仿宋_GB2312" w:hAnsi="仿宋_GB2312" w:cs="仿宋_GB2312" w:eastAsia="仿宋_GB2312"/>
                <w:sz w:val="20"/>
              </w:rPr>
              <w:t xml:space="preserve">1.确保平台功能模块的完整性  </w:t>
            </w:r>
          </w:p>
          <w:p>
            <w:pPr>
              <w:pStyle w:val="null3"/>
            </w:pPr>
            <w:r>
              <w:rPr>
                <w:rFonts w:ascii="仿宋_GB2312" w:hAnsi="仿宋_GB2312" w:cs="仿宋_GB2312" w:eastAsia="仿宋_GB2312"/>
                <w:sz w:val="20"/>
              </w:rPr>
              <w:t>监督建设方完成安全基础管理、重大危险源管理、双重预防机制、特殊作业管控、封闭化管理、敏捷应急等模块的开发与部署。</w:t>
            </w:r>
          </w:p>
          <w:p>
            <w:pPr>
              <w:pStyle w:val="null3"/>
            </w:pPr>
            <w:r>
              <w:rPr>
                <w:rFonts w:ascii="仿宋_GB2312" w:hAnsi="仿宋_GB2312" w:cs="仿宋_GB2312" w:eastAsia="仿宋_GB2312"/>
                <w:sz w:val="20"/>
              </w:rPr>
              <w:t>确保各模块功能符合相关指南和标准，满足实际业务需求。</w:t>
            </w:r>
          </w:p>
          <w:p>
            <w:pPr>
              <w:pStyle w:val="null3"/>
            </w:pPr>
            <w:r>
              <w:rPr>
                <w:rFonts w:ascii="仿宋_GB2312" w:hAnsi="仿宋_GB2312" w:cs="仿宋_GB2312" w:eastAsia="仿宋_GB2312"/>
                <w:sz w:val="20"/>
              </w:rPr>
              <w:t xml:space="preserve">2.确保实现数据的接入与可视化  </w:t>
            </w:r>
          </w:p>
          <w:p>
            <w:pPr>
              <w:pStyle w:val="null3"/>
            </w:pPr>
            <w:r>
              <w:rPr>
                <w:rFonts w:ascii="仿宋_GB2312" w:hAnsi="仿宋_GB2312" w:cs="仿宋_GB2312" w:eastAsia="仿宋_GB2312"/>
                <w:sz w:val="20"/>
              </w:rPr>
              <w:t>监督数据采集、传输、存储及可视化展示的全流程，确保数据的准确性、实时性和完整性。</w:t>
            </w:r>
          </w:p>
          <w:p>
            <w:pPr>
              <w:pStyle w:val="null3"/>
            </w:pPr>
            <w:r>
              <w:rPr>
                <w:rFonts w:ascii="仿宋_GB2312" w:hAnsi="仿宋_GB2312" w:cs="仿宋_GB2312" w:eastAsia="仿宋_GB2312"/>
                <w:sz w:val="20"/>
              </w:rPr>
              <w:t>确保平台支持多形式、多模式、多维度地监测预警和统计分析。</w:t>
            </w:r>
          </w:p>
          <w:p>
            <w:pPr>
              <w:pStyle w:val="null3"/>
            </w:pPr>
            <w:r>
              <w:rPr>
                <w:rFonts w:ascii="仿宋_GB2312" w:hAnsi="仿宋_GB2312" w:cs="仿宋_GB2312" w:eastAsia="仿宋_GB2312"/>
                <w:sz w:val="20"/>
              </w:rPr>
              <w:t xml:space="preserve">3.保障平台运行的稳定性与安全性  </w:t>
            </w:r>
          </w:p>
          <w:p>
            <w:pPr>
              <w:pStyle w:val="null3"/>
            </w:pPr>
            <w:r>
              <w:rPr>
                <w:rFonts w:ascii="仿宋_GB2312" w:hAnsi="仿宋_GB2312" w:cs="仿宋_GB2312" w:eastAsia="仿宋_GB2312"/>
                <w:sz w:val="20"/>
              </w:rPr>
              <w:t>监督平台的基础设施建设（如感知设备、网络、服务器等），确保其稳定运行。</w:t>
            </w:r>
          </w:p>
          <w:p>
            <w:pPr>
              <w:pStyle w:val="null3"/>
            </w:pPr>
            <w:r>
              <w:rPr>
                <w:rFonts w:ascii="仿宋_GB2312" w:hAnsi="仿宋_GB2312" w:cs="仿宋_GB2312" w:eastAsia="仿宋_GB2312"/>
                <w:sz w:val="20"/>
              </w:rPr>
              <w:t>确保平台具备数据安全防护能力，符合国家信息安全相关要求。</w:t>
            </w:r>
          </w:p>
          <w:p>
            <w:pPr>
              <w:pStyle w:val="null3"/>
            </w:pPr>
            <w:r>
              <w:rPr>
                <w:rFonts w:ascii="仿宋_GB2312" w:hAnsi="仿宋_GB2312" w:cs="仿宋_GB2312" w:eastAsia="仿宋_GB2312"/>
                <w:sz w:val="20"/>
              </w:rPr>
              <w:t>（二）监理服务具体效果</w:t>
            </w:r>
          </w:p>
          <w:p>
            <w:pPr>
              <w:pStyle w:val="null3"/>
            </w:pPr>
            <w:r>
              <w:rPr>
                <w:rFonts w:ascii="仿宋_GB2312" w:hAnsi="仿宋_GB2312" w:cs="仿宋_GB2312" w:eastAsia="仿宋_GB2312"/>
                <w:sz w:val="20"/>
              </w:rPr>
              <w:t>1.基础建设监督</w:t>
            </w:r>
          </w:p>
          <w:p>
            <w:pPr>
              <w:pStyle w:val="null3"/>
            </w:pPr>
            <w:r>
              <w:rPr>
                <w:rFonts w:ascii="仿宋_GB2312" w:hAnsi="仿宋_GB2312" w:cs="仿宋_GB2312" w:eastAsia="仿宋_GB2312"/>
                <w:sz w:val="20"/>
              </w:rPr>
              <w:t>感知设备部署：监督感知设备（如传感器、摄像头、定位装置等）的安装与调试，确保覆盖全面、数据准确。</w:t>
            </w:r>
          </w:p>
          <w:p>
            <w:pPr>
              <w:pStyle w:val="null3"/>
            </w:pPr>
            <w:r>
              <w:rPr>
                <w:rFonts w:ascii="仿宋_GB2312" w:hAnsi="仿宋_GB2312" w:cs="仿宋_GB2312" w:eastAsia="仿宋_GB2312"/>
                <w:sz w:val="20"/>
              </w:rPr>
              <w:t>网络与通信建设：监督网络基础设施的建设，确保数据传输的稳定性和实时性。</w:t>
            </w:r>
          </w:p>
          <w:p>
            <w:pPr>
              <w:pStyle w:val="null3"/>
            </w:pPr>
            <w:r>
              <w:rPr>
                <w:rFonts w:ascii="仿宋_GB2312" w:hAnsi="仿宋_GB2312" w:cs="仿宋_GB2312" w:eastAsia="仿宋_GB2312"/>
                <w:sz w:val="20"/>
              </w:rPr>
              <w:t>数据接入与整合：监督数据接入工作，确保生产经营单位基本情况、装置开停车、风险分区、重大危险源等数据的高效整合。</w:t>
            </w:r>
          </w:p>
          <w:p>
            <w:pPr>
              <w:pStyle w:val="null3"/>
            </w:pPr>
            <w:r>
              <w:rPr>
                <w:rFonts w:ascii="仿宋_GB2312" w:hAnsi="仿宋_GB2312" w:cs="仿宋_GB2312" w:eastAsia="仿宋_GB2312"/>
                <w:sz w:val="20"/>
              </w:rPr>
              <w:t>2.功能模块实施监督</w:t>
            </w:r>
          </w:p>
          <w:p>
            <w:pPr>
              <w:pStyle w:val="null3"/>
            </w:pPr>
            <w:r>
              <w:rPr>
                <w:rFonts w:ascii="仿宋_GB2312" w:hAnsi="仿宋_GB2312" w:cs="仿宋_GB2312" w:eastAsia="仿宋_GB2312"/>
                <w:sz w:val="20"/>
              </w:rPr>
              <w:t>安全基础管理：监督安全管理制度、操作规程等内容的数字化落地，确保系统支持安全基础数据的录入、查询与分析。</w:t>
            </w:r>
          </w:p>
          <w:p>
            <w:pPr>
              <w:pStyle w:val="null3"/>
            </w:pPr>
            <w:r>
              <w:rPr>
                <w:rFonts w:ascii="仿宋_GB2312" w:hAnsi="仿宋_GB2312" w:cs="仿宋_GB2312" w:eastAsia="仿宋_GB2312"/>
                <w:sz w:val="20"/>
              </w:rPr>
              <w:t>重大危险源管理：监督重大危险源的实时监测与预警功能，确保系统能够动态监控风险并自动预警。</w:t>
            </w:r>
          </w:p>
          <w:p>
            <w:pPr>
              <w:pStyle w:val="null3"/>
            </w:pPr>
            <w:r>
              <w:rPr>
                <w:rFonts w:ascii="仿宋_GB2312" w:hAnsi="仿宋_GB2312" w:cs="仿宋_GB2312" w:eastAsia="仿宋_GB2312"/>
                <w:sz w:val="20"/>
              </w:rPr>
              <w:t>双重预防机制：监督风险分级管控和隐患排查治理功能的实现，确保系统支持风险辨识、评估、管控和隐患整改的全流程管理。</w:t>
            </w:r>
          </w:p>
          <w:p>
            <w:pPr>
              <w:pStyle w:val="null3"/>
            </w:pPr>
            <w:r>
              <w:rPr>
                <w:rFonts w:ascii="仿宋_GB2312" w:hAnsi="仿宋_GB2312" w:cs="仿宋_GB2312" w:eastAsia="仿宋_GB2312"/>
                <w:sz w:val="20"/>
              </w:rPr>
              <w:t>特殊作业管控：监督特殊作业（如动火作业、受限空间作业等）的审批、监控和记录功能，确保作业过程可追溯、可管控。</w:t>
            </w:r>
          </w:p>
          <w:p>
            <w:pPr>
              <w:pStyle w:val="null3"/>
            </w:pPr>
            <w:r>
              <w:rPr>
                <w:rFonts w:ascii="仿宋_GB2312" w:hAnsi="仿宋_GB2312" w:cs="仿宋_GB2312" w:eastAsia="仿宋_GB2312"/>
                <w:sz w:val="20"/>
              </w:rPr>
              <w:t>封闭化管理：监督人</w:t>
            </w:r>
            <w:r>
              <w:rPr>
                <w:rFonts w:ascii="仿宋_GB2312" w:hAnsi="仿宋_GB2312" w:cs="仿宋_GB2312" w:eastAsia="仿宋_GB2312"/>
                <w:sz w:val="20"/>
              </w:rPr>
              <w:t>/车/物流的进出管理功能，确保系统支持身份识别、轨迹跟踪和异常报警。</w:t>
            </w:r>
          </w:p>
          <w:p>
            <w:pPr>
              <w:pStyle w:val="null3"/>
            </w:pPr>
            <w:r>
              <w:rPr>
                <w:rFonts w:ascii="仿宋_GB2312" w:hAnsi="仿宋_GB2312" w:cs="仿宋_GB2312" w:eastAsia="仿宋_GB2312"/>
                <w:sz w:val="20"/>
              </w:rPr>
              <w:t>敏捷应急：监督应急预案管理、应急资源调度和应急演练功能的实现，确保系统支持快速响应和协同处置。</w:t>
            </w:r>
          </w:p>
          <w:p>
            <w:pPr>
              <w:pStyle w:val="null3"/>
            </w:pPr>
            <w:r>
              <w:rPr>
                <w:rFonts w:ascii="仿宋_GB2312" w:hAnsi="仿宋_GB2312" w:cs="仿宋_GB2312" w:eastAsia="仿宋_GB2312"/>
                <w:sz w:val="20"/>
              </w:rPr>
              <w:t>3.数据可视化与智能化</w:t>
            </w:r>
          </w:p>
          <w:p>
            <w:pPr>
              <w:pStyle w:val="null3"/>
            </w:pPr>
            <w:r>
              <w:rPr>
                <w:rFonts w:ascii="仿宋_GB2312" w:hAnsi="仿宋_GB2312" w:cs="仿宋_GB2312" w:eastAsia="仿宋_GB2312"/>
                <w:sz w:val="20"/>
              </w:rPr>
              <w:t>可视化监测预警：监督平台的可视化展示功能，确保支持风险分区、报警分布、特殊作业等数据的实时展示与预警。</w:t>
            </w:r>
          </w:p>
          <w:p>
            <w:pPr>
              <w:pStyle w:val="null3"/>
            </w:pPr>
            <w:r>
              <w:rPr>
                <w:rFonts w:ascii="仿宋_GB2312" w:hAnsi="仿宋_GB2312" w:cs="仿宋_GB2312" w:eastAsia="仿宋_GB2312"/>
                <w:sz w:val="20"/>
              </w:rPr>
              <w:t>统计分析：监督平台的统计分析功能，确保支持多维度数据分析（如风险趋势、隐患分布、作业频次等）。</w:t>
            </w:r>
          </w:p>
          <w:p>
            <w:pPr>
              <w:pStyle w:val="null3"/>
            </w:pPr>
            <w:r>
              <w:rPr>
                <w:rFonts w:ascii="仿宋_GB2312" w:hAnsi="仿宋_GB2312" w:cs="仿宋_GB2312" w:eastAsia="仿宋_GB2312"/>
                <w:sz w:val="20"/>
              </w:rPr>
              <w:t>4.平台运行与维护</w:t>
            </w:r>
          </w:p>
          <w:p>
            <w:pPr>
              <w:pStyle w:val="null3"/>
            </w:pPr>
            <w:r>
              <w:rPr>
                <w:rFonts w:ascii="仿宋_GB2312" w:hAnsi="仿宋_GB2312" w:cs="仿宋_GB2312" w:eastAsia="仿宋_GB2312"/>
                <w:sz w:val="20"/>
              </w:rPr>
              <w:t>系统稳定性：监督平台的运行维护机制，确保系统在高并发、大数据量场景下的稳定性。</w:t>
            </w:r>
          </w:p>
          <w:p>
            <w:pPr>
              <w:pStyle w:val="null3"/>
            </w:pPr>
            <w:r>
              <w:rPr>
                <w:rFonts w:ascii="仿宋_GB2312" w:hAnsi="仿宋_GB2312" w:cs="仿宋_GB2312" w:eastAsia="仿宋_GB2312"/>
                <w:sz w:val="20"/>
              </w:rPr>
              <w:t>数据安全：监督数据加密、访问控制、日志审计等安全措施的实施，确保平台符合信息安全要求。</w:t>
            </w:r>
          </w:p>
          <w:p>
            <w:pPr>
              <w:pStyle w:val="null3"/>
            </w:pPr>
            <w:r>
              <w:rPr>
                <w:rFonts w:ascii="仿宋_GB2312" w:hAnsi="仿宋_GB2312" w:cs="仿宋_GB2312" w:eastAsia="仿宋_GB2312"/>
                <w:sz w:val="20"/>
              </w:rPr>
              <w:t>持续改进：监督平台的优化升级工作，确保系统能够根据实际需求不断完善。</w:t>
            </w:r>
          </w:p>
          <w:p>
            <w:pPr>
              <w:pStyle w:val="null3"/>
            </w:pPr>
            <w:r>
              <w:rPr>
                <w:rFonts w:ascii="仿宋_GB2312" w:hAnsi="仿宋_GB2312" w:cs="仿宋_GB2312" w:eastAsia="仿宋_GB2312"/>
                <w:sz w:val="20"/>
                <w:b/>
              </w:rPr>
              <w:t>六、成果文件</w:t>
            </w:r>
          </w:p>
          <w:p>
            <w:pPr>
              <w:pStyle w:val="null3"/>
            </w:pPr>
            <w:r>
              <w:rPr>
                <w:rFonts w:ascii="仿宋_GB2312" w:hAnsi="仿宋_GB2312" w:cs="仿宋_GB2312" w:eastAsia="仿宋_GB2312"/>
                <w:sz w:val="20"/>
              </w:rPr>
              <w:t>全部监理服务资料，包括以下内容：</w:t>
            </w:r>
          </w:p>
          <w:p>
            <w:pPr>
              <w:pStyle w:val="null3"/>
            </w:pPr>
            <w:r>
              <w:rPr>
                <w:rFonts w:ascii="仿宋_GB2312" w:hAnsi="仿宋_GB2312" w:cs="仿宋_GB2312" w:eastAsia="仿宋_GB2312"/>
                <w:sz w:val="20"/>
              </w:rPr>
              <w:t>监理规划：针对项目特点、规模等编制的指导性文件，涵盖监理工作范围、目标、依据、程序、方法等。</w:t>
            </w:r>
          </w:p>
          <w:p>
            <w:pPr>
              <w:pStyle w:val="null3"/>
            </w:pPr>
            <w:r>
              <w:rPr>
                <w:rFonts w:ascii="仿宋_GB2312" w:hAnsi="仿宋_GB2312" w:cs="仿宋_GB2312" w:eastAsia="仿宋_GB2312"/>
                <w:sz w:val="20"/>
              </w:rPr>
              <w:t>监理实施细则：依据监理规划，对关键部位、工序等制定的操作性文件，明确监理工作流程、控制要点等。</w:t>
            </w:r>
          </w:p>
          <w:p>
            <w:pPr>
              <w:pStyle w:val="null3"/>
            </w:pPr>
            <w:r>
              <w:rPr>
                <w:rFonts w:ascii="仿宋_GB2312" w:hAnsi="仿宋_GB2312" w:cs="仿宋_GB2312" w:eastAsia="仿宋_GB2312"/>
                <w:sz w:val="20"/>
              </w:rPr>
              <w:t>监理日志：记录监理人员每日工作内容、工程进度、质量状况、存在问题及处理情况等。</w:t>
            </w:r>
          </w:p>
          <w:p>
            <w:pPr>
              <w:pStyle w:val="null3"/>
            </w:pPr>
            <w:r>
              <w:rPr>
                <w:rFonts w:ascii="仿宋_GB2312" w:hAnsi="仿宋_GB2312" w:cs="仿宋_GB2312" w:eastAsia="仿宋_GB2312"/>
                <w:sz w:val="20"/>
              </w:rPr>
              <w:t>监理月报：按月对工程进度、质量、投资、安全等方面的综合报告，含工程概况、本月进展、下月计划等。</w:t>
            </w:r>
          </w:p>
          <w:p>
            <w:pPr>
              <w:pStyle w:val="null3"/>
            </w:pPr>
            <w:r>
              <w:rPr>
                <w:rFonts w:ascii="仿宋_GB2312" w:hAnsi="仿宋_GB2312" w:cs="仿宋_GB2312" w:eastAsia="仿宋_GB2312"/>
                <w:sz w:val="20"/>
              </w:rPr>
              <w:t>会议纪要：记录工地例会、专题会议等的会议内容，包括各方意见、决议事项、责任人和时间节点等。</w:t>
            </w:r>
          </w:p>
          <w:p>
            <w:pPr>
              <w:pStyle w:val="null3"/>
            </w:pPr>
            <w:r>
              <w:rPr>
                <w:rFonts w:ascii="仿宋_GB2312" w:hAnsi="仿宋_GB2312" w:cs="仿宋_GB2312" w:eastAsia="仿宋_GB2312"/>
                <w:sz w:val="20"/>
              </w:rPr>
              <w:t>来往函件：与建设单位、施工单位等的书面往来文件，如监理通知单、工作联系单等，用于传达指令、提出问题等。</w:t>
            </w:r>
          </w:p>
          <w:p>
            <w:pPr>
              <w:pStyle w:val="null3"/>
            </w:pPr>
            <w:r>
              <w:rPr>
                <w:rFonts w:ascii="仿宋_GB2312" w:hAnsi="仿宋_GB2312" w:cs="仿宋_GB2312" w:eastAsia="仿宋_GB2312"/>
                <w:sz w:val="20"/>
                <w:b/>
              </w:rPr>
              <w:t>七</w:t>
            </w:r>
            <w:r>
              <w:rPr>
                <w:rFonts w:ascii="仿宋_GB2312" w:hAnsi="仿宋_GB2312" w:cs="仿宋_GB2312" w:eastAsia="仿宋_GB2312"/>
                <w:sz w:val="20"/>
                <w:b/>
              </w:rPr>
              <w:t>、质量标准</w:t>
            </w:r>
          </w:p>
          <w:p>
            <w:pPr>
              <w:pStyle w:val="null3"/>
              <w:jc w:val="both"/>
            </w:pPr>
            <w:r>
              <w:rPr>
                <w:rFonts w:ascii="仿宋_GB2312" w:hAnsi="仿宋_GB2312" w:cs="仿宋_GB2312" w:eastAsia="仿宋_GB2312"/>
                <w:sz w:val="21"/>
              </w:rPr>
              <w:t>符合国家及行业质量验收合格标准</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渭北煤化工业园区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建设完毕后，由采购方、使用单位组织项目总监及相关人员按照国家行业规范标准和文献资料进行审核、考评。2.采购人应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1、服务期：自签订合同之日起180日；2、付款方式：合同签订后支付合同总金额的40%，所有服务内容完成后支付至合同总金额的 100%。（付款方式以此条为准）3、服务地点：渭北煤化工业园区。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 表》《所有者权益变动表》及其附注；成立时 间至提交磋商响应文件截止时间不足一年的可 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具有工程监理乙级或以上资质证书;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针对本项目理解的深入性，对项目现状和整体认知的理解，进行综合评分。 对项目现状和整体认知理解全面深入、思路清晰明确得8分；需求理解比较全面、但还有一定的优化空间得4分；业务需求理解简单、表述前后不一致、套用其他项目方案或与项目需求匹配性不足得2分；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供应商依托技术依据提供对本项目各阶段的监理实施方案，内容应包括1、设计阶段监理；2、实施阶段监理；3、验收阶段监理。要求内容详实、可行性强，服务定位清晰，能有效保障本项目实施。 实施方案内容全面，条理清晰，可行性充足且完全满足项目实施得10分；实施方案内容较完整，有可行性，能够满足项目实施得7分；实施方案内容基本完整，有一定可行性，基本能够满足项目实施得4分；实施方案内容简单粗略，可行性不足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内容全面详细，针对性充足且完全满足项目实施计8分；内容基本完善，有针对性且能够满足项目实施得6分；内容明确，有一定针对性，基本能够满足项目实施得4分；内容粗略或有明细缺陷，针对性不足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组织协调管理</w:t>
            </w:r>
          </w:p>
        </w:tc>
        <w:tc>
          <w:tcPr>
            <w:tcW w:type="dxa" w:w="2492"/>
          </w:tcPr>
          <w:p>
            <w:pPr>
              <w:pStyle w:val="null3"/>
            </w:pPr>
            <w:r>
              <w:rPr>
                <w:rFonts w:ascii="仿宋_GB2312" w:hAnsi="仿宋_GB2312" w:cs="仿宋_GB2312" w:eastAsia="仿宋_GB2312"/>
              </w:rPr>
              <w:t>内容全面详细，针对性充足且完全满足项目实施得10分；内容基本完善，有针对性且能够满足项目实施得7分；内容明确，有一定针对性，基本能够满足项目实施得4分；内容粗略或有明细缺陷，针对性不足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综合管理措施</w:t>
            </w:r>
          </w:p>
        </w:tc>
        <w:tc>
          <w:tcPr>
            <w:tcW w:type="dxa" w:w="2492"/>
          </w:tcPr>
          <w:p>
            <w:pPr>
              <w:pStyle w:val="null3"/>
            </w:pPr>
            <w:r>
              <w:rPr>
                <w:rFonts w:ascii="仿宋_GB2312" w:hAnsi="仿宋_GB2312" w:cs="仿宋_GB2312" w:eastAsia="仿宋_GB2312"/>
              </w:rPr>
              <w:t>供应商针对本项目采购需求提供综合管理措施。措施至少包含：1、合同管理;2、文档管理措施；3、安全管理;4、应急管理；5、效能管理。根据措施的科学性、合理性、针对性等方面，进行综合评分。 措施内容科学全面，条理清晰，针对性充足且完全满足项目实施得10分；措施详细、内容完整，有针对性得7分；措施明确，内容基本完整，基本能够满足项目实施得4分；措施内容粗略或有明显缺陷，针对性不足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采购需求提供质量控制措施。措施至少包含：1、结合实际情况制定质量控制目标及措施；2、制定进度控制目标及措施；3、投资控制；4、变更控制。根据措施的科学性、合理性、针对性等方面，进行综合评分 措施内容全面，条理清晰，针对性充足且完全满足项目实施得10分；措施详细、内容完整，有针对性得7分；措施具体，内容基本完整，有一定针对性，基本能够满足项目实施得4分；措施内容粗略或有明显缺陷，针对性不足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供应商提供针对本项目的重难点分析方案，方案至少包含：1、重点分析及控制措施；2、难点分析及控制措施。切合项目具体情况，责任明确，服务定位清晰，能有效保障本项目实施。 分析理解深入全面，符合项目实际情况，得10分；分析全面但不深入，基本符合项目实际情况，得7分；对项目分析理解不全面，与项目实际情况有偏差，得4分；分析理解内容简单粗略，得2分；未提供得0分。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内容完整全面，符合项目实际情况，可行性性充足，得5分，内容较完整，基本符合项目实际情况，可行性较充足得4分；内容基本完整，有一定可行性得2分；内容简单粗略，可行性不足计1分；未提供得0分。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针对本项目监理提供服务承诺；承诺函内容至少包含：1、针对本项目监理提供快速及时的服务响应;2、承诺解决问题的时限迅速、合理；3、人员到位保障措施的完善程度。 承诺内容完整，针对各项内容均有明确响应和可行性得5分；承诺内容完整，但响应时效不具体或相关措施不合理得3分；承诺内容不完整或响应时效不具体且相关措施不合理得1分；未提供得0分。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项目监理团队</w:t>
            </w:r>
          </w:p>
        </w:tc>
        <w:tc>
          <w:tcPr>
            <w:tcW w:type="dxa" w:w="2492"/>
          </w:tcPr>
          <w:p>
            <w:pPr>
              <w:pStyle w:val="null3"/>
            </w:pPr>
            <w:r>
              <w:rPr>
                <w:rFonts w:ascii="仿宋_GB2312" w:hAnsi="仿宋_GB2312" w:cs="仿宋_GB2312" w:eastAsia="仿宋_GB2312"/>
              </w:rPr>
              <w:t>1、总监理工程师具有信息系统监理师证书得3分。 注：需提供资格证书扫描件和近半年内连续三个月在本单位缴纳社保的证明，并加盖公章。 2、监理服务团队人员配置齐全，技术经验丰富，机构设置全面合理，且有明确的分工及责任制度，完全满足项目需求得7分；人员配置较合理，技术经验较丰富，有分工但责任制度不明确，满足项目需求得5分；人员配置基本合理，技术经验不足，分工不明确且无责任制度，得3分；人员配置不合理，不能满足本项目需求得1分；未提供得0分。 注：需提供资格证书扫描件和近半年内连续三个月在本单位缴纳社保的证明，并加盖公章。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供应商自2022年1月至磋商响应文件递交截止时间前类似业绩，每提供1份得2分，满分4分。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价格分按照下列公式计算。磋商报价得分=（评标基准价/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