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版本号：ZZTT-CG-2025-4520251031003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蒲城县国土空间详细规划编制单元划定及中心城区重点片区城市设计编制服务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ZZTT-CG-2025-45</w:t>
      </w:r>
      <w:r>
        <w:br/>
      </w:r>
      <w:r>
        <w:br/>
      </w:r>
      <w:r>
        <w:br/>
      </w:r>
    </w:p>
    <w:p>
      <w:pPr>
        <w:pStyle w:val="null3"/>
        <w:jc w:val="center"/>
        <w:outlineLvl w:val="2"/>
      </w:pPr>
      <w:r>
        <w:rPr>
          <w:rFonts w:ascii="仿宋_GB2312" w:hAnsi="仿宋_GB2312" w:cs="仿宋_GB2312" w:eastAsia="仿宋_GB2312"/>
          <w:sz w:val="28"/>
          <w:b/>
        </w:rPr>
        <w:t>蒲城县自然资源局</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蒲城县自然资源局</w:t>
      </w:r>
      <w:r>
        <w:rPr>
          <w:rFonts w:ascii="仿宋_GB2312" w:hAnsi="仿宋_GB2312" w:cs="仿宋_GB2312" w:eastAsia="仿宋_GB2312"/>
        </w:rPr>
        <w:t>委托，拟对</w:t>
      </w:r>
      <w:r>
        <w:rPr>
          <w:rFonts w:ascii="仿宋_GB2312" w:hAnsi="仿宋_GB2312" w:cs="仿宋_GB2312" w:eastAsia="仿宋_GB2312"/>
        </w:rPr>
        <w:t>蒲城县国土空间详细规划编制单元划定及中心城区重点片区城市设计编制服务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ZZTT-CG-2025-45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蒲城县国土空间详细规划编制单元划定及中心城区重点片区城市设计编制服务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本项目包括蒲城县国土空间详细规划编制单元划定及中心城区重点片区城市设计两部分内容。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1、有效的主体资格证明：有效的主体资格证明：供应商应在中华人民共和国境内注册的企业法人、事业法人、其他组织或自然人，出具合法有效的营业执照或事业单位法人证书，自然人参与的提供其身份证明。</w:t>
      </w:r>
    </w:p>
    <w:p>
      <w:pPr>
        <w:pStyle w:val="null3"/>
      </w:pPr>
      <w:r>
        <w:rPr>
          <w:rFonts w:ascii="仿宋_GB2312" w:hAnsi="仿宋_GB2312" w:cs="仿宋_GB2312" w:eastAsia="仿宋_GB2312"/>
        </w:rPr>
        <w:t>2、财务报告：财务报告：提供2024年度经审计的完整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附《基本存款账户信息》或《银行开户许可证》复印件）；或财政部门认可的政府采购专业担保机构出具的投标担保函（以上三种形式的资料提供任何一种即可）</w:t>
      </w:r>
    </w:p>
    <w:p>
      <w:pPr>
        <w:pStyle w:val="null3"/>
      </w:pPr>
      <w:r>
        <w:rPr>
          <w:rFonts w:ascii="仿宋_GB2312" w:hAnsi="仿宋_GB2312" w:cs="仿宋_GB2312" w:eastAsia="仿宋_GB2312"/>
        </w:rPr>
        <w:t>3、社保缴纳证明：社保缴纳证明：提交2025年1月至投标文件截止时间期间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税收缴纳证明：税收缴纳证明：提交2025年1月至投标文件截止时间期间任意一个月的纳税证明或完税证明（增值税、企业所得税至少提供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5、书面声明：投标人应出具参加本次政府采购活动前3年内在经营活动中没有重大违法记录，以及未被列入失信被执行人、重大税收违法案件当事人名单、政府采购严重违法失信行为记录名单的书面声明。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6、具有履行本合同所必需的设备和专业技术能力：投标人提供具有履行本合同所必需的设备和专业技术能力的承诺。</w:t>
      </w:r>
    </w:p>
    <w:p>
      <w:pPr>
        <w:pStyle w:val="null3"/>
      </w:pPr>
      <w:r>
        <w:rPr>
          <w:rFonts w:ascii="仿宋_GB2312" w:hAnsi="仿宋_GB2312" w:cs="仿宋_GB2312" w:eastAsia="仿宋_GB2312"/>
        </w:rPr>
        <w:t>7、法定代表人身份证明/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8、信用查询：投标人未被列入“中国执行信息公开网”失信被执行人；未被列入“信用中国”网站重大税收违法失信主体；未被列入“中国政府采购网”政府采购严重违法失信行为记录名单。</w:t>
      </w:r>
    </w:p>
    <w:p>
      <w:pPr>
        <w:pStyle w:val="null3"/>
      </w:pPr>
      <w:r>
        <w:rPr>
          <w:rFonts w:ascii="仿宋_GB2312" w:hAnsi="仿宋_GB2312" w:cs="仿宋_GB2312" w:eastAsia="仿宋_GB2312"/>
        </w:rPr>
        <w:t>9、企业资质：企业资质：须具备城乡规划编制乙级（或以上）资质。</w:t>
      </w:r>
    </w:p>
    <w:p>
      <w:pPr>
        <w:pStyle w:val="null3"/>
      </w:pPr>
      <w:r>
        <w:rPr>
          <w:rFonts w:ascii="仿宋_GB2312" w:hAnsi="仿宋_GB2312" w:cs="仿宋_GB2312" w:eastAsia="仿宋_GB2312"/>
        </w:rPr>
        <w:t>10、项目负责人：拟派项目负责人应具有注册城乡规划师执业资格并提供项目负责人投标截止日期前三个月内任意一个月的社保证明材料。</w:t>
      </w:r>
    </w:p>
    <w:p>
      <w:pPr>
        <w:pStyle w:val="null3"/>
      </w:pPr>
      <w:r>
        <w:rPr>
          <w:rFonts w:ascii="仿宋_GB2312" w:hAnsi="仿宋_GB2312" w:cs="仿宋_GB2312" w:eastAsia="仿宋_GB2312"/>
        </w:rPr>
        <w:t>11、本项目不接受联合体投标：本项目不接受联合体投标，提供非联合体投标承诺书。</w:t>
      </w:r>
    </w:p>
    <w:p>
      <w:pPr>
        <w:pStyle w:val="null3"/>
      </w:pPr>
      <w:r>
        <w:rPr>
          <w:rFonts w:ascii="仿宋_GB2312" w:hAnsi="仿宋_GB2312" w:cs="仿宋_GB2312" w:eastAsia="仿宋_GB2312"/>
        </w:rPr>
        <w:t>12、投标保证金缴纳凭证：投标保证金缴纳凭证。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陕西省渭南市蒲城县红旗路东段9号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0913-7239052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18182691002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开户名称：陕西中正天投项目管理有限公司</w:t>
            </w:r>
          </w:p>
          <w:p>
            <w:pPr>
              <w:pStyle w:val="null3"/>
            </w:pPr>
            <w:r>
              <w:rPr>
                <w:rFonts w:ascii="仿宋_GB2312" w:hAnsi="仿宋_GB2312" w:cs="仿宋_GB2312" w:eastAsia="仿宋_GB2312"/>
              </w:rPr>
              <w:t>开户银行：交通银行西安北辰大道支行</w:t>
            </w:r>
          </w:p>
          <w:p>
            <w:pPr>
              <w:pStyle w:val="null3"/>
            </w:pPr>
            <w:r>
              <w:rPr>
                <w:rFonts w:ascii="仿宋_GB2312" w:hAnsi="仿宋_GB2312" w:cs="仿宋_GB2312" w:eastAsia="仿宋_GB2312"/>
              </w:rPr>
              <w:t>银行账号：611301014013000111177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代理服务费收费标准：参照国家计委计价格〔2002〕1980号、发改办价格〔2003〕857号、发改价格〔2011〕534号文件规定的标准（以中标金额为计算基数）计取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蒲城县自然资源局</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联系电话：029-89538211</w:t>
      </w:r>
    </w:p>
    <w:p>
      <w:pPr>
        <w:pStyle w:val="null3"/>
      </w:pPr>
      <w:r>
        <w:rPr>
          <w:rFonts w:ascii="仿宋_GB2312" w:hAnsi="仿宋_GB2312" w:cs="仿宋_GB2312" w:eastAsia="仿宋_GB2312"/>
        </w:rPr>
        <w:t>地址：西安市高新区锦业路32号锦业时代B3座17楼1701室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本项目包括蒲城县国土空间详细规划编制单元划定及中心城区重点片区城市设计两部分内容。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蒲城县国土空间详细规划编制单元划定及中心城区重点片区城市设计编制服务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标的名称：蒲城县国土空间详细规划编制单元划定及中心城区重点片区城市设计编制服务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2"/>
              </w:rPr>
              <w:t>一、项目概况及基本要求</w:t>
            </w:r>
          </w:p>
          <w:p>
            <w:pPr>
              <w:pStyle w:val="null3"/>
              <w:spacing w:after="165"/>
            </w:pPr>
            <w:r>
              <w:rPr>
                <w:rFonts w:ascii="仿宋_GB2312" w:hAnsi="仿宋_GB2312" w:cs="仿宋_GB2312" w:eastAsia="仿宋_GB2312"/>
                <w:sz w:val="22"/>
              </w:rPr>
              <w:t>本项目包括蒲城县国土空间详细规划编制单元划定及中心城区重点片区城市设计两部分内容。</w:t>
            </w:r>
          </w:p>
          <w:p>
            <w:pPr>
              <w:pStyle w:val="null3"/>
              <w:spacing w:after="165"/>
            </w:pPr>
            <w:r>
              <w:rPr>
                <w:rFonts w:ascii="仿宋_GB2312" w:hAnsi="仿宋_GB2312" w:cs="仿宋_GB2312" w:eastAsia="仿宋_GB2312"/>
                <w:sz w:val="22"/>
              </w:rPr>
              <w:t>国土空间详细规划单元划定</w:t>
            </w:r>
          </w:p>
          <w:p>
            <w:pPr>
              <w:pStyle w:val="null3"/>
              <w:spacing w:after="165"/>
            </w:pPr>
            <w:r>
              <w:rPr>
                <w:rFonts w:ascii="仿宋_GB2312" w:hAnsi="仿宋_GB2312" w:cs="仿宋_GB2312" w:eastAsia="仿宋_GB2312"/>
                <w:sz w:val="22"/>
              </w:rPr>
              <w:t>1.1工作内容</w:t>
            </w:r>
          </w:p>
          <w:p>
            <w:pPr>
              <w:pStyle w:val="null3"/>
              <w:spacing w:after="165"/>
            </w:pPr>
            <w:r>
              <w:rPr>
                <w:rFonts w:ascii="仿宋_GB2312" w:hAnsi="仿宋_GB2312" w:cs="仿宋_GB2312" w:eastAsia="仿宋_GB2312"/>
                <w:sz w:val="22"/>
              </w:rPr>
              <w:t>根据自然资源部印发《自然资源部关于加强国土空间详细规划工作的通知》（自然资发〔</w:t>
            </w:r>
            <w:r>
              <w:rPr>
                <w:rFonts w:ascii="仿宋_GB2312" w:hAnsi="仿宋_GB2312" w:cs="仿宋_GB2312" w:eastAsia="仿宋_GB2312"/>
                <w:sz w:val="22"/>
              </w:rPr>
              <w:t>2023〕43号）、《陕西省详细规划编制单元划定指南》（试行）、《陕西省城镇开发边界内详细规划编制指南》(试行)等文件开展县域国土空间详细规划单元划定工作，结合蒲城县“三区三线”划定成果、蒲城县城镇开发边界局部优化成果、蒲城县耕地和永久基本农田核实处置成果、县级国土空间总体规划成果、镇级国土空间总体规划成果等数据，在详细规划“一张图”基础框架上，将上位总体规划的战略目标、底线管控、功能布局、资源利用等方面的要求分解落实到各规划单元，因地制宜确定单元的适宜规模、类型以及主导功能。</w:t>
            </w:r>
          </w:p>
          <w:p>
            <w:pPr>
              <w:pStyle w:val="null3"/>
              <w:spacing w:after="165"/>
            </w:pPr>
            <w:r>
              <w:rPr>
                <w:rFonts w:ascii="仿宋_GB2312" w:hAnsi="仿宋_GB2312" w:cs="仿宋_GB2312" w:eastAsia="仿宋_GB2312"/>
                <w:sz w:val="22"/>
              </w:rPr>
              <w:t>1.2规划范围</w:t>
            </w:r>
          </w:p>
          <w:p>
            <w:pPr>
              <w:pStyle w:val="null3"/>
              <w:spacing w:after="165"/>
            </w:pPr>
            <w:r>
              <w:rPr>
                <w:rFonts w:ascii="仿宋_GB2312" w:hAnsi="仿宋_GB2312" w:cs="仿宋_GB2312" w:eastAsia="仿宋_GB2312"/>
                <w:sz w:val="22"/>
              </w:rPr>
              <w:t>蒲城县国土空间详细规划单元划定规划范围为县域</w:t>
            </w:r>
            <w:r>
              <w:rPr>
                <w:rFonts w:ascii="仿宋_GB2312" w:hAnsi="仿宋_GB2312" w:cs="仿宋_GB2312" w:eastAsia="仿宋_GB2312"/>
                <w:sz w:val="22"/>
              </w:rPr>
              <w:t>1579.82</w:t>
            </w:r>
            <w:r>
              <w:rPr>
                <w:rFonts w:ascii="仿宋_GB2312" w:hAnsi="仿宋_GB2312" w:cs="仿宋_GB2312" w:eastAsia="仿宋_GB2312"/>
                <w:sz w:val="22"/>
              </w:rPr>
              <w:t>平方千米。</w:t>
            </w:r>
          </w:p>
          <w:p>
            <w:pPr>
              <w:pStyle w:val="null3"/>
              <w:spacing w:after="165"/>
            </w:pPr>
            <w:r>
              <w:rPr>
                <w:rFonts w:ascii="仿宋_GB2312" w:hAnsi="仿宋_GB2312" w:cs="仿宋_GB2312" w:eastAsia="仿宋_GB2312"/>
                <w:sz w:val="22"/>
              </w:rPr>
              <w:t>1.3成果要求</w:t>
            </w:r>
          </w:p>
          <w:p>
            <w:pPr>
              <w:pStyle w:val="null3"/>
              <w:spacing w:after="165"/>
            </w:pPr>
            <w:r>
              <w:rPr>
                <w:rFonts w:ascii="仿宋_GB2312" w:hAnsi="仿宋_GB2312" w:cs="仿宋_GB2312" w:eastAsia="仿宋_GB2312"/>
                <w:sz w:val="22"/>
              </w:rPr>
              <w:t>按照《陕西省国土空间详细规划编制单元划定成果汇交要求与质检操作手册（讨论稿）》要求，成果数据包括：规划文档资料、规划栅格图件、矢量数据、规划表格、数据说明文档和成果报送清单。</w:t>
            </w:r>
          </w:p>
          <w:p>
            <w:pPr>
              <w:pStyle w:val="null3"/>
              <w:spacing w:after="165"/>
            </w:pPr>
            <w:r>
              <w:rPr>
                <w:rFonts w:ascii="仿宋_GB2312" w:hAnsi="仿宋_GB2312" w:cs="仿宋_GB2312" w:eastAsia="仿宋_GB2312"/>
                <w:sz w:val="22"/>
              </w:rPr>
              <w:t>a.规划文档资料</w:t>
            </w:r>
          </w:p>
          <w:p>
            <w:pPr>
              <w:pStyle w:val="null3"/>
              <w:spacing w:after="165"/>
            </w:pPr>
            <w:r>
              <w:rPr>
                <w:rFonts w:ascii="仿宋_GB2312" w:hAnsi="仿宋_GB2312" w:cs="仿宋_GB2312" w:eastAsia="仿宋_GB2312"/>
                <w:sz w:val="22"/>
              </w:rPr>
              <w:t>规划文档资料包括划定报告和附件，按照</w:t>
            </w:r>
            <w:r>
              <w:rPr>
                <w:rFonts w:ascii="仿宋_GB2312" w:hAnsi="仿宋_GB2312" w:cs="仿宋_GB2312" w:eastAsia="仿宋_GB2312"/>
                <w:sz w:val="22"/>
              </w:rPr>
              <w:t>“行政区代码+行政区名称+文件名称.pdf(.doc)”的规则命名，其中划定报告同时提交pdf和word两种格式。</w:t>
            </w:r>
          </w:p>
          <w:p>
            <w:pPr>
              <w:pStyle w:val="null3"/>
              <w:spacing w:after="165"/>
            </w:pPr>
            <w:r>
              <w:rPr>
                <w:rFonts w:ascii="仿宋_GB2312" w:hAnsi="仿宋_GB2312" w:cs="仿宋_GB2312" w:eastAsia="仿宋_GB2312"/>
                <w:sz w:val="22"/>
              </w:rPr>
              <w:t>b.规划栅格图件</w:t>
            </w:r>
          </w:p>
          <w:p>
            <w:pPr>
              <w:pStyle w:val="null3"/>
              <w:spacing w:after="165"/>
            </w:pPr>
            <w:r>
              <w:rPr>
                <w:rFonts w:ascii="仿宋_GB2312" w:hAnsi="仿宋_GB2312" w:cs="仿宋_GB2312" w:eastAsia="仿宋_GB2312"/>
                <w:sz w:val="22"/>
              </w:rPr>
              <w:t>规划栅格图件采用</w:t>
            </w:r>
            <w:r>
              <w:rPr>
                <w:rFonts w:ascii="仿宋_GB2312" w:hAnsi="仿宋_GB2312" w:cs="仿宋_GB2312" w:eastAsia="仿宋_GB2312"/>
                <w:sz w:val="22"/>
              </w:rPr>
              <w:t>.jpg文件格式，分辨率要求在300dpi以上。图件名称按照“行政区代码+行政区名称+图件名称.jpg”的规则命名。</w:t>
            </w:r>
          </w:p>
          <w:p>
            <w:pPr>
              <w:pStyle w:val="null3"/>
              <w:spacing w:after="165"/>
            </w:pPr>
            <w:r>
              <w:rPr>
                <w:rFonts w:ascii="仿宋_GB2312" w:hAnsi="仿宋_GB2312" w:cs="仿宋_GB2312" w:eastAsia="仿宋_GB2312"/>
                <w:sz w:val="22"/>
              </w:rPr>
              <w:t>c.矢量数据</w:t>
            </w:r>
          </w:p>
          <w:p>
            <w:pPr>
              <w:pStyle w:val="null3"/>
              <w:spacing w:after="165"/>
            </w:pPr>
            <w:r>
              <w:rPr>
                <w:rFonts w:ascii="仿宋_GB2312" w:hAnsi="仿宋_GB2312" w:cs="仿宋_GB2312" w:eastAsia="仿宋_GB2312"/>
                <w:sz w:val="22"/>
              </w:rPr>
              <w:t>矢量数据应采用</w:t>
            </w:r>
            <w:r>
              <w:rPr>
                <w:rFonts w:ascii="仿宋_GB2312" w:hAnsi="仿宋_GB2312" w:cs="仿宋_GB2312" w:eastAsia="仿宋_GB2312"/>
                <w:sz w:val="22"/>
              </w:rPr>
              <w:t>File Geodatabase（.gdb）（文件地理数据库）格式储存，命名为“行政区代码+行政区名称+详细规划编制单元划定数据库.gdb”，其中行政区代码和行政区名称填写到县级行政区。</w:t>
            </w:r>
          </w:p>
          <w:p>
            <w:pPr>
              <w:pStyle w:val="null3"/>
              <w:spacing w:after="165"/>
            </w:pPr>
            <w:r>
              <w:rPr>
                <w:rFonts w:ascii="仿宋_GB2312" w:hAnsi="仿宋_GB2312" w:cs="仿宋_GB2312" w:eastAsia="仿宋_GB2312"/>
                <w:sz w:val="22"/>
              </w:rPr>
              <w:t>d.规划表格</w:t>
            </w:r>
          </w:p>
          <w:p>
            <w:pPr>
              <w:pStyle w:val="null3"/>
              <w:spacing w:after="165"/>
            </w:pPr>
            <w:r>
              <w:rPr>
                <w:rFonts w:ascii="仿宋_GB2312" w:hAnsi="仿宋_GB2312" w:cs="仿宋_GB2312" w:eastAsia="仿宋_GB2312"/>
                <w:sz w:val="22"/>
              </w:rPr>
              <w:t>规划表格采用</w:t>
            </w:r>
            <w:r>
              <w:rPr>
                <w:rFonts w:ascii="仿宋_GB2312" w:hAnsi="仿宋_GB2312" w:cs="仿宋_GB2312" w:eastAsia="仿宋_GB2312"/>
                <w:sz w:val="22"/>
              </w:rPr>
              <w:t>.mdb文件格式，表格名称按照“行政区代码+行政区名称+详细规划编制单元统计一览表.mdb”的规则命名。</w:t>
            </w:r>
          </w:p>
          <w:p>
            <w:pPr>
              <w:pStyle w:val="null3"/>
              <w:spacing w:after="165"/>
            </w:pPr>
            <w:r>
              <w:rPr>
                <w:rFonts w:ascii="仿宋_GB2312" w:hAnsi="仿宋_GB2312" w:cs="仿宋_GB2312" w:eastAsia="仿宋_GB2312"/>
                <w:sz w:val="22"/>
              </w:rPr>
              <w:t>e.数据说明文档</w:t>
            </w:r>
          </w:p>
          <w:p>
            <w:pPr>
              <w:pStyle w:val="null3"/>
              <w:spacing w:after="165"/>
            </w:pPr>
            <w:r>
              <w:rPr>
                <w:rFonts w:ascii="仿宋_GB2312" w:hAnsi="仿宋_GB2312" w:cs="仿宋_GB2312" w:eastAsia="仿宋_GB2312"/>
                <w:sz w:val="22"/>
              </w:rPr>
              <w:t>数据说明文档包括例外说明、数据质量检查报告、数据质量检查结果记录等相关说明文档，采用</w:t>
            </w:r>
            <w:r>
              <w:rPr>
                <w:rFonts w:ascii="仿宋_GB2312" w:hAnsi="仿宋_GB2312" w:cs="仿宋_GB2312" w:eastAsia="仿宋_GB2312"/>
                <w:sz w:val="22"/>
              </w:rPr>
              <w:t>.pdf</w:t>
            </w:r>
            <w:r>
              <w:rPr>
                <w:rFonts w:ascii="仿宋_GB2312" w:hAnsi="仿宋_GB2312" w:cs="仿宋_GB2312" w:eastAsia="仿宋_GB2312"/>
                <w:sz w:val="22"/>
              </w:rPr>
              <w:t>文件格式。文件名称按照</w:t>
            </w:r>
            <w:r>
              <w:rPr>
                <w:rFonts w:ascii="仿宋_GB2312" w:hAnsi="仿宋_GB2312" w:cs="仿宋_GB2312" w:eastAsia="仿宋_GB2312"/>
                <w:sz w:val="22"/>
              </w:rPr>
              <w:t>“</w:t>
            </w:r>
            <w:r>
              <w:rPr>
                <w:rFonts w:ascii="仿宋_GB2312" w:hAnsi="仿宋_GB2312" w:cs="仿宋_GB2312" w:eastAsia="仿宋_GB2312"/>
                <w:sz w:val="22"/>
              </w:rPr>
              <w:t>行政区代码</w:t>
            </w:r>
            <w:r>
              <w:rPr>
                <w:rFonts w:ascii="仿宋_GB2312" w:hAnsi="仿宋_GB2312" w:cs="仿宋_GB2312" w:eastAsia="仿宋_GB2312"/>
                <w:sz w:val="22"/>
              </w:rPr>
              <w:t>+行政区名称+说明文档名称.pdf”的规则命名。</w:t>
            </w:r>
          </w:p>
          <w:p>
            <w:pPr>
              <w:pStyle w:val="null3"/>
              <w:spacing w:after="165"/>
            </w:pPr>
            <w:r>
              <w:rPr>
                <w:rFonts w:ascii="仿宋_GB2312" w:hAnsi="仿宋_GB2312" w:cs="仿宋_GB2312" w:eastAsia="仿宋_GB2312"/>
                <w:sz w:val="22"/>
              </w:rPr>
              <w:t>f.成果报送清单</w:t>
            </w:r>
          </w:p>
          <w:p>
            <w:pPr>
              <w:pStyle w:val="null3"/>
              <w:spacing w:after="165"/>
            </w:pPr>
            <w:r>
              <w:rPr>
                <w:rFonts w:ascii="仿宋_GB2312" w:hAnsi="仿宋_GB2312" w:cs="仿宋_GB2312" w:eastAsia="仿宋_GB2312"/>
                <w:sz w:val="22"/>
              </w:rPr>
              <w:t>成果报送清单说明本成果包含的内容，列明各个矢量图层名称和表格名称等。采用</w:t>
            </w:r>
            <w:r>
              <w:rPr>
                <w:rFonts w:ascii="仿宋_GB2312" w:hAnsi="仿宋_GB2312" w:cs="仿宋_GB2312" w:eastAsia="仿宋_GB2312"/>
                <w:sz w:val="22"/>
              </w:rPr>
              <w:t>.pdf文件格式，文件名称按照“行政区代码＋行政区名称”＋“成果报送清单.pdf”的规则命名。</w:t>
            </w:r>
          </w:p>
          <w:p>
            <w:pPr>
              <w:pStyle w:val="null3"/>
              <w:spacing w:after="165"/>
            </w:pPr>
            <w:r>
              <w:rPr>
                <w:rFonts w:ascii="仿宋_GB2312" w:hAnsi="仿宋_GB2312" w:cs="仿宋_GB2312" w:eastAsia="仿宋_GB2312"/>
                <w:sz w:val="22"/>
              </w:rPr>
              <w:t>中心城区重点片区城市设计</w:t>
            </w:r>
          </w:p>
          <w:p>
            <w:pPr>
              <w:pStyle w:val="null3"/>
              <w:spacing w:after="165"/>
            </w:pPr>
            <w:r>
              <w:rPr>
                <w:rFonts w:ascii="仿宋_GB2312" w:hAnsi="仿宋_GB2312" w:cs="仿宋_GB2312" w:eastAsia="仿宋_GB2312"/>
                <w:sz w:val="22"/>
              </w:rPr>
              <w:t>2.1工作内容</w:t>
            </w:r>
          </w:p>
          <w:p>
            <w:pPr>
              <w:pStyle w:val="null3"/>
              <w:spacing w:after="165"/>
            </w:pPr>
            <w:r>
              <w:rPr>
                <w:rFonts w:ascii="仿宋_GB2312" w:hAnsi="仿宋_GB2312" w:cs="仿宋_GB2312" w:eastAsia="仿宋_GB2312"/>
                <w:sz w:val="22"/>
              </w:rPr>
              <w:t>根据自然资源部印发《自然资源部关于加强国土空间详细规划工作的通知》（自然资发〔</w:t>
            </w:r>
            <w:r>
              <w:rPr>
                <w:rFonts w:ascii="仿宋_GB2312" w:hAnsi="仿宋_GB2312" w:cs="仿宋_GB2312" w:eastAsia="仿宋_GB2312"/>
                <w:sz w:val="22"/>
              </w:rPr>
              <w:t>2023〕43号）、《关于加快推进国土空间详细规划工作的通知》（陕自然资规发〔2024〕1086号）等文件要求，开展蒲城县中心城区重点片区城市设计工作。针对蒲城县老城核心区、城市南北入口周边等未来发展潜力较大和城市更新难度较复杂的重点片区，结合蒲城县中心城区总体城市设计要求，运用精细化、实施性、可操作性的城市设计技术手法，着重对各类历史文化资源、存量更新地区、新建地区进行精细化管控与设计，着重对上述片区内的各开发地块进行方案设计，对建筑布局方式、群体形态、建筑退距、贴线率、体量、高度、屋顶形式、立面设计以及色彩、材质等深入研究，优化重要视觉廊道天际线，最终形成详细城市设计导则, 对城市形态、公共空间、建筑整体控制等空间要素，提出刚性与弹性相结合的控制引导要求。</w:t>
            </w:r>
          </w:p>
          <w:p>
            <w:pPr>
              <w:pStyle w:val="null3"/>
              <w:spacing w:after="165"/>
            </w:pPr>
            <w:r>
              <w:rPr>
                <w:rFonts w:ascii="仿宋_GB2312" w:hAnsi="仿宋_GB2312" w:cs="仿宋_GB2312" w:eastAsia="仿宋_GB2312"/>
                <w:sz w:val="22"/>
              </w:rPr>
              <w:t>2.2规划范围</w:t>
            </w:r>
          </w:p>
          <w:p>
            <w:pPr>
              <w:pStyle w:val="null3"/>
              <w:spacing w:after="165"/>
            </w:pPr>
            <w:r>
              <w:rPr>
                <w:rFonts w:ascii="仿宋_GB2312" w:hAnsi="仿宋_GB2312" w:cs="仿宋_GB2312" w:eastAsia="仿宋_GB2312"/>
                <w:sz w:val="22"/>
              </w:rPr>
              <w:t>蒲城县中心城区重点片区城市设计范围主要包括老城核心片区和南、北部入城片区，总规划范围约</w:t>
            </w:r>
            <w:r>
              <w:rPr>
                <w:rFonts w:ascii="仿宋_GB2312" w:hAnsi="仿宋_GB2312" w:cs="仿宋_GB2312" w:eastAsia="仿宋_GB2312"/>
                <w:sz w:val="22"/>
              </w:rPr>
              <w:t>4.7平方千米。</w:t>
            </w:r>
          </w:p>
          <w:p>
            <w:pPr>
              <w:pStyle w:val="null3"/>
              <w:spacing w:after="165"/>
            </w:pPr>
            <w:r>
              <w:rPr>
                <w:rFonts w:ascii="仿宋_GB2312" w:hAnsi="仿宋_GB2312" w:cs="仿宋_GB2312" w:eastAsia="仿宋_GB2312"/>
                <w:sz w:val="22"/>
              </w:rPr>
              <w:t>2.3成果要求</w:t>
            </w:r>
          </w:p>
          <w:p>
            <w:pPr>
              <w:pStyle w:val="null3"/>
              <w:spacing w:after="165"/>
            </w:pPr>
            <w:r>
              <w:rPr>
                <w:rFonts w:ascii="仿宋_GB2312" w:hAnsi="仿宋_GB2312" w:cs="仿宋_GB2312" w:eastAsia="仿宋_GB2312"/>
                <w:sz w:val="22"/>
              </w:rPr>
              <w:t>重点片区城市设计成果包括说明书、文本、图纸和三维动画演示，应包含但不限于以下内容。</w:t>
            </w:r>
          </w:p>
          <w:tbl>
            <w:tblPr>
              <w:tblBorders>
                <w:top w:val="none" w:color="000000" w:sz="4"/>
                <w:left w:val="none" w:color="000000" w:sz="4"/>
                <w:bottom w:val="none" w:color="000000" w:sz="4"/>
                <w:right w:val="none" w:color="000000" w:sz="4"/>
                <w:insideH w:val="none"/>
                <w:insideV w:val="none"/>
              </w:tblBorders>
            </w:tblPr>
            <w:tblGrid>
              <w:gridCol w:w="398"/>
              <w:gridCol w:w="711"/>
              <w:gridCol w:w="1444"/>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蒲城县中心城区重点片区城市设计项目成果</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序号</w:t>
                  </w:r>
                </w:p>
              </w:tc>
              <w:tc>
                <w:tcPr>
                  <w:tcW w:type="dxa" w:w="21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资料及文件名称</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w:t>
                  </w:r>
                </w:p>
              </w:tc>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城市设计说明</w:t>
                  </w:r>
                </w:p>
              </w:tc>
              <w:tc>
                <w:tcPr>
                  <w:tcW w:type="dxa" w:w="1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规划背景分析</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2</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现状分析</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3</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设计理念与构思</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4</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形态与特征研究</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5</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空间结构与布局</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6</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规划实施</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w:t>
                  </w:r>
                </w:p>
              </w:tc>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城市设计图纸</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区位分析图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2</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城市现状城市风貌分析图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3</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城市自然空间格局分析图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4</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城市历史人文特征分析图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5</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现状</w:t>
                  </w:r>
                  <w:r>
                    <w:rPr>
                      <w:rFonts w:ascii="仿宋_GB2312" w:hAnsi="仿宋_GB2312" w:cs="仿宋_GB2312" w:eastAsia="仿宋_GB2312"/>
                      <w:sz w:val="22"/>
                    </w:rPr>
                    <w:t>用地要素分析</w:t>
                  </w:r>
                  <w:r>
                    <w:rPr>
                      <w:rFonts w:ascii="仿宋_GB2312" w:hAnsi="仿宋_GB2312" w:cs="仿宋_GB2312" w:eastAsia="仿宋_GB2312"/>
                      <w:sz w:val="22"/>
                    </w:rPr>
                    <w:t>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6</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w:t>
                  </w:r>
                  <w:r>
                    <w:rPr>
                      <w:rFonts w:ascii="仿宋_GB2312" w:hAnsi="仿宋_GB2312" w:cs="仿宋_GB2312" w:eastAsia="仿宋_GB2312"/>
                      <w:sz w:val="22"/>
                    </w:rPr>
                    <w:t>总平面图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7</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w:t>
                  </w:r>
                  <w:r>
                    <w:rPr>
                      <w:rFonts w:ascii="仿宋_GB2312" w:hAnsi="仿宋_GB2312" w:cs="仿宋_GB2312" w:eastAsia="仿宋_GB2312"/>
                      <w:sz w:val="22"/>
                    </w:rPr>
                    <w:t>风貌分区图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8</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开发</w:t>
                  </w:r>
                  <w:r>
                    <w:rPr>
                      <w:rFonts w:ascii="仿宋_GB2312" w:hAnsi="仿宋_GB2312" w:cs="仿宋_GB2312" w:eastAsia="仿宋_GB2312"/>
                      <w:sz w:val="22"/>
                    </w:rPr>
                    <w:t>强度控制</w:t>
                  </w:r>
                  <w:r>
                    <w:rPr>
                      <w:rFonts w:ascii="仿宋_GB2312" w:hAnsi="仿宋_GB2312" w:cs="仿宋_GB2312" w:eastAsia="仿宋_GB2312"/>
                      <w:sz w:val="22"/>
                    </w:rPr>
                    <w:t>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9</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建筑</w:t>
                  </w:r>
                  <w:r>
                    <w:rPr>
                      <w:rFonts w:ascii="仿宋_GB2312" w:hAnsi="仿宋_GB2312" w:cs="仿宋_GB2312" w:eastAsia="仿宋_GB2312"/>
                      <w:sz w:val="22"/>
                    </w:rPr>
                    <w:t>高度控制</w:t>
                  </w:r>
                  <w:r>
                    <w:rPr>
                      <w:rFonts w:ascii="仿宋_GB2312" w:hAnsi="仿宋_GB2312" w:cs="仿宋_GB2312" w:eastAsia="仿宋_GB2312"/>
                      <w:sz w:val="22"/>
                    </w:rPr>
                    <w:t>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10</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城市天际线分析图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11</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城市开放空间规划图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12</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景观</w:t>
                  </w:r>
                  <w:r>
                    <w:rPr>
                      <w:rFonts w:ascii="仿宋_GB2312" w:hAnsi="仿宋_GB2312" w:cs="仿宋_GB2312" w:eastAsia="仿宋_GB2312"/>
                      <w:sz w:val="22"/>
                    </w:rPr>
                    <w:t>结构规划图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13</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道路</w:t>
                  </w:r>
                  <w:r>
                    <w:rPr>
                      <w:rFonts w:ascii="仿宋_GB2312" w:hAnsi="仿宋_GB2312" w:cs="仿宋_GB2312" w:eastAsia="仿宋_GB2312"/>
                      <w:sz w:val="22"/>
                    </w:rPr>
                    <w:t>系统规划</w:t>
                  </w:r>
                  <w:r>
                    <w:rPr>
                      <w:rFonts w:ascii="仿宋_GB2312" w:hAnsi="仿宋_GB2312" w:cs="仿宋_GB2312" w:eastAsia="仿宋_GB2312"/>
                      <w:sz w:val="22"/>
                    </w:rPr>
                    <w:t>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14</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慢行</w:t>
                  </w:r>
                  <w:r>
                    <w:rPr>
                      <w:rFonts w:ascii="仿宋_GB2312" w:hAnsi="仿宋_GB2312" w:cs="仿宋_GB2312" w:eastAsia="仿宋_GB2312"/>
                      <w:sz w:val="22"/>
                    </w:rPr>
                    <w:t>系统规划图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15</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开发</w:t>
                  </w:r>
                  <w:r>
                    <w:rPr>
                      <w:rFonts w:ascii="仿宋_GB2312" w:hAnsi="仿宋_GB2312" w:cs="仿宋_GB2312" w:eastAsia="仿宋_GB2312"/>
                      <w:sz w:val="22"/>
                    </w:rPr>
                    <w:t>时序分析图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w:t>
                  </w:r>
                </w:p>
              </w:tc>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城市设计导则</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城市街道立面控制导则</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2</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城市建筑控制导则</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3</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城市夜景照明控制导则</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4</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城市广告标识控制导则</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5</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城市开敞空间界面控制导则</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w:t>
                  </w:r>
                </w:p>
              </w:tc>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城市设计成果</w:t>
                  </w:r>
                </w:p>
                <w:p>
                  <w:pPr>
                    <w:pStyle w:val="null3"/>
                    <w:spacing w:after="165"/>
                    <w:jc w:val="center"/>
                  </w:pPr>
                  <w:r>
                    <w:rPr>
                      <w:rFonts w:ascii="仿宋_GB2312" w:hAnsi="仿宋_GB2312" w:cs="仿宋_GB2312" w:eastAsia="仿宋_GB2312"/>
                      <w:sz w:val="22"/>
                    </w:rPr>
                    <w:t>表现文件</w:t>
                  </w:r>
                </w:p>
                <w:p>
                  <w:pPr>
                    <w:pStyle w:val="null3"/>
                    <w:spacing w:after="165"/>
                    <w:jc w:val="center"/>
                  </w:p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城市总体</w:t>
                  </w:r>
                  <w:r>
                    <w:rPr>
                      <w:rFonts w:ascii="仿宋_GB2312" w:hAnsi="仿宋_GB2312" w:cs="仿宋_GB2312" w:eastAsia="仿宋_GB2312"/>
                      <w:sz w:val="22"/>
                    </w:rPr>
                    <w:t>鸟瞰图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2</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重要节点鸟瞰效果图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3</w:t>
                  </w:r>
                </w:p>
              </w:tc>
              <w:tc>
                <w:tcPr>
                  <w:tcW w:type="dxa" w:w="711"/>
                  <w:vMerge/>
                  <w:tcBorders>
                    <w:top w:val="none" w:color="000000" w:sz="4"/>
                    <w:left w:val="single" w:color="000000" w:sz="4"/>
                    <w:bottom w:val="single" w:color="000000" w:sz="4"/>
                    <w:right w:val="single" w:color="000000" w:sz="4"/>
                  </w:tcBorders>
                </w:tcP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各主要部分透视效果图</w:t>
                  </w:r>
                </w:p>
              </w:tc>
            </w:tr>
            <w:tr>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1</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城市设计图则</w:t>
                  </w:r>
                </w:p>
              </w:tc>
              <w:tc>
                <w:tcPr>
                  <w:tcW w:type="dxa" w:w="1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2"/>
                    </w:rPr>
                    <w:t>城市设计地块图则</w:t>
                  </w:r>
                </w:p>
              </w:tc>
            </w:tr>
          </w:tbl>
          <w:p>
            <w:pPr>
              <w:pStyle w:val="null3"/>
              <w:spacing w:after="165"/>
            </w:pPr>
            <w:r>
              <w:rPr>
                <w:rFonts w:ascii="仿宋_GB2312" w:hAnsi="仿宋_GB2312" w:cs="仿宋_GB2312" w:eastAsia="仿宋_GB2312"/>
                <w:sz w:val="22"/>
              </w:rPr>
              <w:t>三、商务要求</w:t>
            </w:r>
          </w:p>
          <w:p>
            <w:pPr>
              <w:pStyle w:val="null3"/>
              <w:spacing w:after="165"/>
            </w:pPr>
            <w:r>
              <w:rPr>
                <w:rFonts w:ascii="仿宋_GB2312" w:hAnsi="仿宋_GB2312" w:cs="仿宋_GB2312" w:eastAsia="仿宋_GB2312"/>
                <w:sz w:val="22"/>
              </w:rPr>
              <w:t>合同履行期限：</w:t>
            </w:r>
            <w:r>
              <w:rPr>
                <w:rFonts w:ascii="仿宋_GB2312" w:hAnsi="仿宋_GB2312" w:cs="仿宋_GB2312" w:eastAsia="仿宋_GB2312"/>
                <w:sz w:val="22"/>
              </w:rPr>
              <w:t>合同签订后</w:t>
            </w:r>
            <w:r>
              <w:rPr>
                <w:rFonts w:ascii="仿宋_GB2312" w:hAnsi="仿宋_GB2312" w:cs="仿宋_GB2312" w:eastAsia="仿宋_GB2312"/>
                <w:sz w:val="22"/>
              </w:rPr>
              <w:t>6个月</w:t>
            </w:r>
            <w:r>
              <w:rPr>
                <w:rFonts w:ascii="仿宋_GB2312" w:hAnsi="仿宋_GB2312" w:cs="仿宋_GB2312" w:eastAsia="仿宋_GB2312"/>
                <w:sz w:val="22"/>
              </w:rPr>
              <w:t>内完成并提交成果资料</w:t>
            </w:r>
          </w:p>
          <w:p>
            <w:pPr>
              <w:pStyle w:val="null3"/>
              <w:spacing w:after="165"/>
            </w:pPr>
            <w:r>
              <w:rPr>
                <w:rFonts w:ascii="仿宋_GB2312" w:hAnsi="仿宋_GB2312" w:cs="仿宋_GB2312" w:eastAsia="仿宋_GB2312"/>
                <w:sz w:val="22"/>
              </w:rPr>
              <w:t>项目地点：渭南市蒲城县</w:t>
            </w:r>
          </w:p>
          <w:p>
            <w:pPr>
              <w:pStyle w:val="null3"/>
              <w:spacing w:after="165"/>
            </w:pPr>
            <w:r>
              <w:rPr>
                <w:rFonts w:ascii="仿宋_GB2312" w:hAnsi="仿宋_GB2312" w:cs="仿宋_GB2312" w:eastAsia="仿宋_GB2312"/>
                <w:sz w:val="22"/>
              </w:rPr>
              <w:t>合同付款方式：</w:t>
            </w:r>
            <w:r>
              <w:rPr>
                <w:rFonts w:ascii="仿宋_GB2312" w:hAnsi="仿宋_GB2312" w:cs="仿宋_GB2312" w:eastAsia="仿宋_GB2312"/>
                <w:sz w:val="22"/>
              </w:rPr>
              <w:t>分四次付款</w:t>
            </w:r>
          </w:p>
          <w:p>
            <w:pPr>
              <w:pStyle w:val="null3"/>
              <w:spacing w:after="165"/>
            </w:pPr>
            <w:r>
              <w:rPr>
                <w:rFonts w:ascii="仿宋_GB2312" w:hAnsi="仿宋_GB2312" w:cs="仿宋_GB2312" w:eastAsia="仿宋_GB2312"/>
                <w:sz w:val="22"/>
              </w:rPr>
              <w:t>(1)签订合同后7天内支付合同金额的40%作为定金及启动资金</w:t>
            </w:r>
          </w:p>
          <w:p>
            <w:pPr>
              <w:pStyle w:val="null3"/>
              <w:spacing w:after="165"/>
            </w:pPr>
            <w:r>
              <w:rPr>
                <w:rFonts w:ascii="仿宋_GB2312" w:hAnsi="仿宋_GB2312" w:cs="仿宋_GB2312" w:eastAsia="仿宋_GB2312"/>
                <w:sz w:val="22"/>
              </w:rPr>
              <w:t>(2)完成初步方案经甲方确认后7天内支付合同金额的20%</w:t>
            </w:r>
          </w:p>
          <w:p>
            <w:pPr>
              <w:pStyle w:val="null3"/>
              <w:spacing w:after="165"/>
            </w:pPr>
            <w:r>
              <w:rPr>
                <w:rFonts w:ascii="仿宋_GB2312" w:hAnsi="仿宋_GB2312" w:cs="仿宋_GB2312" w:eastAsia="仿宋_GB2312"/>
                <w:sz w:val="22"/>
              </w:rPr>
              <w:t>(3)规划成果通过专家评审后7天内支付合同金额的30%</w:t>
            </w:r>
          </w:p>
          <w:p>
            <w:pPr>
              <w:pStyle w:val="null3"/>
              <w:spacing w:after="165"/>
            </w:pPr>
            <w:r>
              <w:rPr>
                <w:rFonts w:ascii="仿宋_GB2312" w:hAnsi="仿宋_GB2312" w:cs="仿宋_GB2312" w:eastAsia="仿宋_GB2312"/>
                <w:sz w:val="22"/>
              </w:rPr>
              <w:t>(4)提交最终规划成果通过政府审批后7天内支付剩余的10%尾款。</w:t>
            </w:r>
          </w:p>
          <w:p>
            <w:pPr>
              <w:pStyle w:val="null3"/>
              <w:spacing w:after="165"/>
            </w:pPr>
            <w:r>
              <w:rPr>
                <w:rFonts w:ascii="仿宋_GB2312" w:hAnsi="仿宋_GB2312" w:cs="仿宋_GB2312" w:eastAsia="仿宋_GB2312"/>
                <w:sz w:val="22"/>
              </w:rPr>
              <w:t>注：每次付款前乙方应按照要求提供等额的增值税发票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合同签订后6个月内完成并提交成果资料</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渭南市蒲城县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完成初步方案经甲方确认后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规划成果通过专家评审后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提交最终规划成果通过政府审批后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有效的主体资格证明：供应商应在中华人民共和国境内注册的企业法人、事业法人、其他组织或自然人，出具合法有效的营业执照或事业单位法人证书，自然人参与的提供其身份证明。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财务报告：提供2024年度经审计的完整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附《基本存款账户信息》或《银行开户许可证》复印件）；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交2025年1月至投标文件截止时间期间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交2025年1月至投标文件截止时间期间任意一个月的纳税证明或完税证明（增值税、企业所得税至少提供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声明函.docx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投标人提供具有履行本合同所必需的设备和专业技术能力的承诺。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法定代表人身份证明或法定代表人授权委托书.docx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投标人未被列入“中国执行信息公开网”失信被执行人；未被列入“信用中国”网站重大税收违法失信主体；未被列入“中国政府采购网”政府采购严重违法失信行为记录名单。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企业资质：须具备城乡规划编制乙级（或以上）资质。</w:t>
            </w:r>
          </w:p>
        </w:tc>
        <w:tc>
          <w:tcPr>
            <w:tcW w:type="dxa" w:w="1661"/>
          </w:tcPr>
          <w:p>
            <w:pPr>
              <w:pStyle w:val="null3"/>
            </w:pPr>
            <w:r>
              <w:rPr>
                <w:rFonts w:ascii="仿宋_GB2312" w:hAnsi="仿宋_GB2312" w:cs="仿宋_GB2312" w:eastAsia="仿宋_GB2312"/>
              </w:rPr>
              <w:t>企业资质.docx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拟派项目负责人应具有注册城乡规划师执业资格并提供项目负责人投标截止日期前三个月内任意一个月的社保证明材料。</w:t>
            </w:r>
          </w:p>
        </w:tc>
        <w:tc>
          <w:tcPr>
            <w:tcW w:type="dxa" w:w="1661"/>
          </w:tcPr>
          <w:p>
            <w:pPr>
              <w:pStyle w:val="null3"/>
            </w:pPr>
            <w:r>
              <w:rPr>
                <w:rFonts w:ascii="仿宋_GB2312" w:hAnsi="仿宋_GB2312" w:cs="仿宋_GB2312" w:eastAsia="仿宋_GB2312"/>
              </w:rPr>
              <w:t>拟派项目负责人资格要求.docx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本项目不接受联合体投标，提供非联合体投标承诺书。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投标文件内容未出现重大负偏差</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企业资质.docx 投标函 拟派项目负责人资格要求.docx 残疾人福利性单位声明函 服务方案 标的清单 投标文件封面 声明函.docx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企业资质.docx 投标函 拟派项目负责人资格要求.docx 残疾人福利性单位声明函 服务方案 标的清单 投标文件封面 声明函.docx 法定代表人身份证明或法定代表人授权委托书.docx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投标文件有效期达到招标文件的要要求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完全理解并接受法律法规和招标文件对供应商合法经营的各类规约和责任义务要求，未出现法律、法规或招标文件规定的其他无效情形的</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项目任务与需求分析</w:t>
            </w:r>
          </w:p>
        </w:tc>
        <w:tc>
          <w:tcPr>
            <w:tcW w:type="dxa" w:w="2492"/>
          </w:tcPr>
          <w:p>
            <w:pPr>
              <w:pStyle w:val="null3"/>
            </w:pPr>
            <w:r>
              <w:rPr>
                <w:rFonts w:ascii="仿宋_GB2312" w:hAnsi="仿宋_GB2312" w:cs="仿宋_GB2312" w:eastAsia="仿宋_GB2312"/>
              </w:rPr>
              <w:t>根据投标人针对本次详细规划单元划定和重点片区城市设计编制的工作背景、国家和省级规范文件的分析以及项目任务的理解进行评分。 评审内容：①项目基本情况及相关政策解读；②详细规划单元划定和重点片区城市设计编制背景分析；③专业资料及相关规划搜集与内容梳理；④实地调研与考察方案。 赋分标准： ①每一项评审内容完全满足评审标准得2.5分； ②每一项评审内容若存在（1）不明确；（2）不合理；（3）不完整；（4）针对性不强；（5）不符合本项目实际需求，每有一项扣0.5分；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项目重点与难点分析</w:t>
            </w:r>
          </w:p>
        </w:tc>
        <w:tc>
          <w:tcPr>
            <w:tcW w:type="dxa" w:w="2492"/>
          </w:tcPr>
          <w:p>
            <w:pPr>
              <w:pStyle w:val="null3"/>
            </w:pPr>
            <w:r>
              <w:rPr>
                <w:rFonts w:ascii="仿宋_GB2312" w:hAnsi="仿宋_GB2312" w:cs="仿宋_GB2312" w:eastAsia="仿宋_GB2312"/>
              </w:rPr>
              <w:t>根据投标人针对本次详细规划单元划定和重点片区城市设计编制的重点与难点分析进行评分。 评审内容：①项目重点与难点的综合判断；②针对重点与难点的解决思路及对策。 赋分标准： ①每一项评审内容完全满足评审标准得5分； ②每一项评审内容若存在（1）不明确；（2）不合理；（3）不完整；（4）针对性不强；（5）不符合本项目实际需求，每有一项扣1分；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技术路线与现状分析</w:t>
            </w:r>
          </w:p>
        </w:tc>
        <w:tc>
          <w:tcPr>
            <w:tcW w:type="dxa" w:w="2492"/>
          </w:tcPr>
          <w:p>
            <w:pPr>
              <w:pStyle w:val="null3"/>
            </w:pPr>
            <w:r>
              <w:rPr>
                <w:rFonts w:ascii="仿宋_GB2312" w:hAnsi="仿宋_GB2312" w:cs="仿宋_GB2312" w:eastAsia="仿宋_GB2312"/>
              </w:rPr>
              <w:t>根据投标人针对本次详细规划单元划定和重点片区城市设计编制的技术路线与现状分析进行评分。 评审内容： ①本次编制工作的规划理念、技术路线；②理清底图底数，开展现状评估。 赋分标准： ①每一项评审内容完全满足评审标准得5分； ②每一项评审内容若存在（1）不明确；（2）不合理；（3）不完整；（4）针对性不强；（5）不符合本项目实际需求，每有一项扣1分；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规划方案</w:t>
            </w:r>
          </w:p>
        </w:tc>
        <w:tc>
          <w:tcPr>
            <w:tcW w:type="dxa" w:w="2492"/>
          </w:tcPr>
          <w:p>
            <w:pPr>
              <w:pStyle w:val="null3"/>
            </w:pPr>
            <w:r>
              <w:rPr>
                <w:rFonts w:ascii="仿宋_GB2312" w:hAnsi="仿宋_GB2312" w:cs="仿宋_GB2312" w:eastAsia="仿宋_GB2312"/>
              </w:rPr>
              <w:t>根据投标人针对本次详细规划单元划定和重点片区城市设计编制规划方案进行评分。 评审内容： ①单元划定及用地布局优化；②交通、市政、公共服务等专项规划支撑；③重点地区设计空间形态引导等。 赋分标准： ①每一项评审内容完全满足评审标准得5分； ②每一项评审内容若存在（1）不明确；（2）不合理；（3）不完整；（4）针对性不强；（5）无法响应本项目实际需求，每有一项扣1分;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研究方法与技术手段</w:t>
            </w:r>
          </w:p>
        </w:tc>
        <w:tc>
          <w:tcPr>
            <w:tcW w:type="dxa" w:w="2492"/>
          </w:tcPr>
          <w:p>
            <w:pPr>
              <w:pStyle w:val="null3"/>
            </w:pPr>
            <w:r>
              <w:rPr>
                <w:rFonts w:ascii="仿宋_GB2312" w:hAnsi="仿宋_GB2312" w:cs="仿宋_GB2312" w:eastAsia="仿宋_GB2312"/>
              </w:rPr>
              <w:t>针对本次详细规划单元划定和重点片区城市设计编制提出的研究方法与技术手段。 评审内容：研究方法及技术手段的创新性及多样化，且能够响应本项目重点和难点 评审标准： 1.完整性：内容全面，对评审内容中的各项要求有详细描述； 2.可实施性：内容科学，清晰、合理，可实施性强； 3.针对性：能够紧扣项目实际情况，满足具体要求。 赋分标准（5分）： ①评审内容完全满足评审标准得5分； ②评审内容若存在（1）不明确；（2）不合理；（3）不完整；（4）针对性不强；（5）无法响应本项目重难点，每有一项扣1分； ③评审内容不提供或完全背离评审标准得0分。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组织架构方案</w:t>
            </w:r>
          </w:p>
        </w:tc>
        <w:tc>
          <w:tcPr>
            <w:tcW w:type="dxa" w:w="2492"/>
          </w:tcPr>
          <w:p>
            <w:pPr>
              <w:pStyle w:val="null3"/>
            </w:pPr>
            <w:r>
              <w:rPr>
                <w:rFonts w:ascii="仿宋_GB2312" w:hAnsi="仿宋_GB2312" w:cs="仿宋_GB2312" w:eastAsia="仿宋_GB2312"/>
              </w:rPr>
              <w:t>组织架构方案（根据项目采购内容及要求中的规划范围提供的项目组织架构方案） 评审内容：①岗位制度和岗位职责；②人员分工安排 评审标准： 2.完整性：内容全面，对评审内容中的各项要求有详细描述； 2.可实施性：内容科学，清晰、合理，可实施性强； 3.针对性：能够紧扣项目实际情况，满足具体要求。 赋分标准（3分）： ①每一项评审内容完全满足评审标准得1.5分；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评审内容：①质量管理体系；②质量保障措施。 评审标准： 1.完整性：响应全面，对评审内容中的各项要求有详细描述； 2.可实施性：内容科学，步骤清晰、合理，可实施性强； 3.针对性：能够紧扣项目实际情况，满足具体要求。 赋分标准： ①每一项评审内容完全满足评审标准得1.5分；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评审内容：①进度计划；②实施进度管控措施 评审标准： 1.完整性：响应全面，对评审内容中的各项要求有详细描述； 2.可实施性：内容科学，步骤清晰、合理，可实施性强； 3.针对性：能够紧扣项目实际情况，满足具体要求。 赋分标准（3分）： ①每一项评审内容完全满足评审标准得1.5分；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评审内容：①安全保密工作制度；②保证措施进行评分。 评审标准： 1.完整性：响应全面，对评审内容中的各项要求有详细描述； 2.可实施性：内容科学，步骤清晰、合理，可实施性强； 3.针对性：能够紧扣项目实际情况，满足具体要求。 赋分标准（3分）： ①每一项评审内容完全满足评审标准得1.5分；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评审内容：①后续服务方案；②后续服务保障措施及承诺 评审标准： 1.完整性：响应全面，对评审内容中的各项要求有详细描述； 2.可实施性：内容科学，步骤清晰、合理，可实施性强； 3.针对性：能够紧扣项目实际情况，满足具体要求。 赋分标准（3分）： ①每一项评审内容完全满足评审标准得1.5分；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（1）项目负责人同时具有规划相关专业高级或以上职称得3分，其他不得分； （2）项目组成员（不含项目负责人）应包含城乡规划或国土空间规划、建筑、园林、环境等相关专业人员，至少10人，得5分；每增加1人加0.5分，加满2分为止（项目团队人员不足10人该项不得分）。 （3）除项目负责人外，其中每增加一个注册城乡规划师资格的加0.5分，加满2.5分为止 （4）除项目负责人外，项目组成员具备相关专业中级及以上职称的，每个加0.5分加满2.5分为止。 注：1、需提供对应人员投标截止日期前三个月内任意一个月的社保证明材料并加盖投标人公章。 2、需提供对应人员身份证、职称证、注册证等证明材料复印件并加盖投标人公章。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投标人具有2022年9月1日至今类似项目业绩，每提供一个计2.5分，本项合计最高分10分。 注：投标文件中须提供合同复印件并加盖投标人公章，须提供合同首页、双方签字盖章页以及能够反映合同内容部分的复印件。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投标报价得分=（评标基准价／投标报价）×价格权值×100符合招标文件规定的小微企业、监狱企业、残疾人福利企业优惠条件的投标人，价格给予10%的扣除，用扣除后的价格进行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详见附件：拟派项目负责人资格要求.docx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详见附件：蒲城合同范本.docx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