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版本号：JZDCG-2025-04320251021001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警务移动终端服务采购项目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JZDCG-2025-043</w:t>
      </w:r>
      <w:r>
        <w:br/>
      </w:r>
      <w:r>
        <w:br/>
      </w:r>
      <w:r>
        <w:br/>
      </w:r>
    </w:p>
    <w:p>
      <w:pPr>
        <w:pStyle w:val="null3"/>
        <w:jc w:val="center"/>
        <w:outlineLvl w:val="2"/>
      </w:pPr>
      <w:r>
        <w:rPr>
          <w:rFonts w:ascii="仿宋_GB2312" w:hAnsi="仿宋_GB2312" w:cs="仿宋_GB2312" w:eastAsia="仿宋_GB2312"/>
          <w:sz w:val="28"/>
          <w:b/>
        </w:rPr>
        <w:t>蒲城县公安局</w:t>
      </w:r>
    </w:p>
    <w:p>
      <w:pPr>
        <w:pStyle w:val="null3"/>
        <w:jc w:val="center"/>
        <w:outlineLvl w:val="2"/>
      </w:pPr>
      <w:r>
        <w:rPr>
          <w:rFonts w:ascii="仿宋_GB2312" w:hAnsi="仿宋_GB2312" w:cs="仿宋_GB2312" w:eastAsia="仿宋_GB2312"/>
          <w:sz w:val="28"/>
          <w:b/>
        </w:rPr>
        <w:t>陕西金准达项目管理有限责任公司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陕西金准达项目管理有限责任公司</w:t>
      </w:r>
      <w:r>
        <w:rPr>
          <w:rFonts w:ascii="仿宋_GB2312" w:hAnsi="仿宋_GB2312" w:cs="仿宋_GB2312" w:eastAsia="仿宋_GB2312"/>
        </w:rPr>
        <w:t>（以下简称“代理机构”）受</w:t>
      </w:r>
      <w:r>
        <w:rPr>
          <w:rFonts w:ascii="仿宋_GB2312" w:hAnsi="仿宋_GB2312" w:cs="仿宋_GB2312" w:eastAsia="仿宋_GB2312"/>
        </w:rPr>
        <w:t>蒲城县公安局</w:t>
      </w:r>
      <w:r>
        <w:rPr>
          <w:rFonts w:ascii="仿宋_GB2312" w:hAnsi="仿宋_GB2312" w:cs="仿宋_GB2312" w:eastAsia="仿宋_GB2312"/>
        </w:rPr>
        <w:t>委托，拟对</w:t>
      </w:r>
      <w:r>
        <w:rPr>
          <w:rFonts w:ascii="仿宋_GB2312" w:hAnsi="仿宋_GB2312" w:cs="仿宋_GB2312" w:eastAsia="仿宋_GB2312"/>
        </w:rPr>
        <w:t>警务移动终端服务采购项目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JZDCG-2025-043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警务移动终端服务采购项目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本项目为警务移动终端服务采购项目，主要内容为警务移动终端及通信服务。旨在为警务人员执法提供高效、安全的技术支持和通信保障。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1、主体资格证明：法人或者其他组织的营业执照等证明文件或者自然人身份证明；</w:t>
      </w:r>
    </w:p>
    <w:p>
      <w:pPr>
        <w:pStyle w:val="null3"/>
      </w:pPr>
      <w:r>
        <w:rPr>
          <w:rFonts w:ascii="仿宋_GB2312" w:hAnsi="仿宋_GB2312" w:cs="仿宋_GB2312" w:eastAsia="仿宋_GB2312"/>
        </w:rPr>
        <w:t>2、社会保障资金缴纳证明：自2025年04月01日以来已缴存的至少一个月的社会保障资金缴存单据或社保机构开具的社会保险参保缴费情况证明，单据或证明上应有社保机构或代收机构的公章或业务专用章。依法不需要缴纳社会保障资金的投标人应提供相关证明文件；</w:t>
      </w:r>
    </w:p>
    <w:p>
      <w:pPr>
        <w:pStyle w:val="null3"/>
      </w:pPr>
      <w:r>
        <w:rPr>
          <w:rFonts w:ascii="仿宋_GB2312" w:hAnsi="仿宋_GB2312" w:cs="仿宋_GB2312" w:eastAsia="仿宋_GB2312"/>
        </w:rPr>
        <w:t>3、税收缴纳证明：自2025年04月01日以来已缴存的至少一个月的纳税证明或完税证明，纳税证明或完税证明上应有代收机构或税务机关的公章或业务专用章。依法免税的投标人应提供相关文件证明；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4、信用查询：未被列入“信用中国”网站（www.creditchina.gov.cn）失信被执行人和重大税收违法失信主体，不得为“中国政府采购网”（www.ccgp.gov.cn）政府采购严重违法失信行为记录名单中禁止参加政府采购活动的投标人；</w:t>
      </w:r>
    </w:p>
    <w:p>
      <w:pPr>
        <w:pStyle w:val="null3"/>
      </w:pPr>
      <w:r>
        <w:rPr>
          <w:rFonts w:ascii="仿宋_GB2312" w:hAnsi="仿宋_GB2312" w:cs="仿宋_GB2312" w:eastAsia="仿宋_GB2312"/>
        </w:rPr>
        <w:t>5、法定代表人/非法人单位负责人授权委托书：须提供法定代表人/非法人单位负责人授权书(附法定代表人/非法人单位负责人、被授权人身份证复印件)；法定代表人/非法人单位负责人直接参加磋商的，须提供法定代表人/非法人单位负责人身份证明文件；</w:t>
      </w:r>
    </w:p>
    <w:p>
      <w:pPr>
        <w:pStyle w:val="null3"/>
      </w:pPr>
      <w:r>
        <w:rPr>
          <w:rFonts w:ascii="仿宋_GB2312" w:hAnsi="仿宋_GB2312" w:cs="仿宋_GB2312" w:eastAsia="仿宋_GB2312"/>
        </w:rPr>
        <w:t>6、无重大违法记录：参加政府采购活动前三年内在经营活动中没有重大违法记录；</w:t>
      </w:r>
    </w:p>
    <w:p>
      <w:pPr>
        <w:pStyle w:val="null3"/>
      </w:pPr>
      <w:r>
        <w:rPr>
          <w:rFonts w:ascii="仿宋_GB2312" w:hAnsi="仿宋_GB2312" w:cs="仿宋_GB2312" w:eastAsia="仿宋_GB2312"/>
        </w:rPr>
        <w:t>7、履行合同所必需的设备和专业技术能力：提供具有履行合同所必需的设备和专业技术能力的承诺函；</w:t>
      </w:r>
    </w:p>
    <w:p>
      <w:pPr>
        <w:pStyle w:val="null3"/>
      </w:pPr>
      <w:r>
        <w:rPr>
          <w:rFonts w:ascii="仿宋_GB2312" w:hAnsi="仿宋_GB2312" w:cs="仿宋_GB2312" w:eastAsia="仿宋_GB2312"/>
        </w:rPr>
        <w:t>8、本项目不接受联合体磋商：提供非联合体声明；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蒲城县公安局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陕西省渭南市蒲城县城南新区开元街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伍燕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13892550533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陕西金准达项目管理有限责任公司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陕西省西安市高新区科技五路3号橡树星座B座902室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王军、刘萌萌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029-89555599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蒲城县政府采购管理股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惠娜娜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13892323567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开户名称：陕西金准达项目管理有限责任公司项目保证金专户</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银行账号：129911244910001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参照《国家计委关于印发招标代理服务收费管理暂行办法的通知》（计价格【2002】1980号）和国家发改委办公厅颁发的《关于招标代理服务收费有关问题的通知》（发改办价格【2003】857号）文件为计算依据计取。 2、代理服务费的交纳方式：由成交人在领取成交通知书前向采购代理机构一次性支付； 开户名称：陕西金准达项目管理有限责任公司 开户银行：招商银行西安分行营业部 账 号：129911244910902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蒲城县公安局</w:t>
      </w:r>
      <w:r>
        <w:rPr>
          <w:rFonts w:ascii="仿宋_GB2312" w:hAnsi="仿宋_GB2312" w:cs="仿宋_GB2312" w:eastAsia="仿宋_GB2312"/>
        </w:rPr>
        <w:t>和</w:t>
      </w:r>
      <w:r>
        <w:rPr>
          <w:rFonts w:ascii="仿宋_GB2312" w:hAnsi="仿宋_GB2312" w:cs="仿宋_GB2312" w:eastAsia="仿宋_GB2312"/>
        </w:rPr>
        <w:t>陕西金准达项目管理有限责任公司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蒲城县公安局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陕西金准达项目管理有限责任公司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蒲城县公安局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陕西金准达项目管理有限责任公司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联系人：王军、刘萌萌</w:t>
      </w:r>
    </w:p>
    <w:p>
      <w:pPr>
        <w:pStyle w:val="null3"/>
      </w:pPr>
      <w:r>
        <w:rPr>
          <w:rFonts w:ascii="仿宋_GB2312" w:hAnsi="仿宋_GB2312" w:cs="仿宋_GB2312" w:eastAsia="仿宋_GB2312"/>
        </w:rPr>
        <w:t>联系电话：029-89555599</w:t>
      </w:r>
    </w:p>
    <w:p>
      <w:pPr>
        <w:pStyle w:val="null3"/>
      </w:pPr>
      <w:r>
        <w:rPr>
          <w:rFonts w:ascii="仿宋_GB2312" w:hAnsi="仿宋_GB2312" w:cs="仿宋_GB2312" w:eastAsia="仿宋_GB2312"/>
        </w:rPr>
        <w:t>地址：陕西省西安市高新区科技五路3号橡树星座B座902室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本项目为警务移动终端服务采购项目，主要内容为警务移动终端及通信服务。旨在为警务人员执法提供高效、安全的技术支持和通信保障。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1,050,000.00</w:t>
      </w:r>
    </w:p>
    <w:p>
      <w:pPr>
        <w:pStyle w:val="null3"/>
      </w:pPr>
      <w:r>
        <w:rPr>
          <w:rFonts w:ascii="仿宋_GB2312" w:hAnsi="仿宋_GB2312" w:cs="仿宋_GB2312" w:eastAsia="仿宋_GB2312"/>
        </w:rPr>
        <w:t>采购包最高限价（元）: 1,050,000.00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警务移动终端服务采购项目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标的名称：警务移动终端服务采购项目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一、移动警务终端设备、系统要求（</w:t>
            </w:r>
            <w:r>
              <w:rPr>
                <w:rFonts w:ascii="仿宋_GB2312" w:hAnsi="仿宋_GB2312" w:cs="仿宋_GB2312" w:eastAsia="仿宋_GB2312"/>
                <w:b/>
              </w:rPr>
              <w:t>93部/套）</w:t>
            </w:r>
          </w:p>
          <w:p>
            <w:pPr>
              <w:pStyle w:val="null3"/>
              <w:jc w:val="both"/>
            </w:pPr>
            <w:r>
              <w:rPr>
                <w:rFonts w:ascii="仿宋_GB2312" w:hAnsi="仿宋_GB2312" w:cs="仿宋_GB2312" w:eastAsia="仿宋_GB2312"/>
                <w:b/>
              </w:rPr>
              <w:t>（</w:t>
            </w:r>
            <w:r>
              <w:rPr>
                <w:rFonts w:ascii="仿宋_GB2312" w:hAnsi="仿宋_GB2312" w:cs="仿宋_GB2312" w:eastAsia="仿宋_GB2312"/>
                <w:b/>
              </w:rPr>
              <w:t>一）移动警务终端设备</w:t>
            </w:r>
          </w:p>
          <w:p>
            <w:pPr>
              <w:pStyle w:val="null3"/>
              <w:jc w:val="both"/>
            </w:pPr>
            <w:r>
              <w:rPr>
                <w:rFonts w:ascii="仿宋_GB2312" w:hAnsi="仿宋_GB2312" w:cs="仿宋_GB2312" w:eastAsia="仿宋_GB2312"/>
              </w:rPr>
              <w:t>▲1、处理器要求：CPU核心数≥八核，最高单核主频≥3.3GHz；</w:t>
            </w:r>
          </w:p>
          <w:p>
            <w:pPr>
              <w:pStyle w:val="null3"/>
            </w:pPr>
            <w:r>
              <w:rPr>
                <w:rFonts w:ascii="仿宋_GB2312" w:hAnsi="仿宋_GB2312" w:cs="仿宋_GB2312" w:eastAsia="仿宋_GB2312"/>
              </w:rPr>
              <w:t>▲2、存储要求：机身自带内存≥256G，运行内存≥16G；</w:t>
            </w:r>
          </w:p>
          <w:p>
            <w:pPr>
              <w:pStyle w:val="null3"/>
            </w:pPr>
            <w:r>
              <w:rPr>
                <w:rFonts w:ascii="仿宋_GB2312" w:hAnsi="仿宋_GB2312" w:cs="仿宋_GB2312" w:eastAsia="仿宋_GB2312"/>
              </w:rPr>
              <w:t>3、屏幕要求</w:t>
            </w:r>
          </w:p>
          <w:p>
            <w:pPr>
              <w:pStyle w:val="null3"/>
            </w:pPr>
            <w:r>
              <w:rPr>
                <w:rFonts w:ascii="仿宋_GB2312" w:hAnsi="仿宋_GB2312" w:cs="仿宋_GB2312" w:eastAsia="仿宋_GB2312"/>
              </w:rPr>
              <w:t>（1）屏幕类型：OLED屏；</w:t>
            </w:r>
          </w:p>
          <w:p>
            <w:pPr>
              <w:pStyle w:val="null3"/>
            </w:pPr>
            <w:r>
              <w:rPr>
                <w:rFonts w:ascii="仿宋_GB2312" w:hAnsi="仿宋_GB2312" w:cs="仿宋_GB2312" w:eastAsia="仿宋_GB2312"/>
              </w:rPr>
              <w:t>▲（2）屏幕尺寸：≥6.7英寸；</w:t>
            </w:r>
          </w:p>
          <w:p>
            <w:pPr>
              <w:pStyle w:val="null3"/>
            </w:pPr>
            <w:r>
              <w:rPr>
                <w:rFonts w:ascii="仿宋_GB2312" w:hAnsi="仿宋_GB2312" w:cs="仿宋_GB2312" w:eastAsia="仿宋_GB2312"/>
              </w:rPr>
              <w:t>（3）屏幕分辨率：≥2412×1080像素；</w:t>
            </w:r>
          </w:p>
          <w:p>
            <w:pPr>
              <w:pStyle w:val="null3"/>
            </w:pPr>
            <w:r>
              <w:rPr>
                <w:rFonts w:ascii="仿宋_GB2312" w:hAnsi="仿宋_GB2312" w:cs="仿宋_GB2312" w:eastAsia="仿宋_GB2312"/>
              </w:rPr>
              <w:t>▲（4）屏幕刷新率≥120Hz。</w:t>
            </w:r>
          </w:p>
          <w:p>
            <w:pPr>
              <w:pStyle w:val="null3"/>
            </w:pPr>
            <w:r>
              <w:rPr>
                <w:rFonts w:ascii="仿宋_GB2312" w:hAnsi="仿宋_GB2312" w:cs="仿宋_GB2312" w:eastAsia="仿宋_GB2312"/>
              </w:rPr>
              <w:t>4、摄像头：</w:t>
            </w:r>
          </w:p>
          <w:p>
            <w:pPr>
              <w:pStyle w:val="null3"/>
            </w:pPr>
            <w:r>
              <w:rPr>
                <w:rFonts w:ascii="仿宋_GB2312" w:hAnsi="仿宋_GB2312" w:cs="仿宋_GB2312" w:eastAsia="仿宋_GB2312"/>
              </w:rPr>
              <w:t>▲（1）后置主摄像头≥5000万像素，广角摄像头，支持自动对焦；</w:t>
            </w:r>
          </w:p>
          <w:p>
            <w:pPr>
              <w:pStyle w:val="null3"/>
            </w:pPr>
            <w:r>
              <w:rPr>
                <w:rFonts w:ascii="仿宋_GB2312" w:hAnsi="仿宋_GB2312" w:cs="仿宋_GB2312" w:eastAsia="仿宋_GB2312"/>
              </w:rPr>
              <w:t>▲（2）前置摄像头≥3200万像素。</w:t>
            </w:r>
          </w:p>
          <w:p>
            <w:pPr>
              <w:pStyle w:val="null3"/>
            </w:pPr>
            <w:r>
              <w:rPr>
                <w:rFonts w:ascii="仿宋_GB2312" w:hAnsi="仿宋_GB2312" w:cs="仿宋_GB2312" w:eastAsia="仿宋_GB2312"/>
              </w:rPr>
              <w:t>5、电池及充电</w:t>
            </w:r>
          </w:p>
          <w:p>
            <w:pPr>
              <w:pStyle w:val="null3"/>
            </w:pPr>
            <w:r>
              <w:rPr>
                <w:rFonts w:ascii="仿宋_GB2312" w:hAnsi="仿宋_GB2312" w:cs="仿宋_GB2312" w:eastAsia="仿宋_GB2312"/>
              </w:rPr>
              <w:t>▲（1）电池容量≥5000毫安时(典型值）；</w:t>
            </w:r>
          </w:p>
          <w:p>
            <w:pPr>
              <w:pStyle w:val="null3"/>
            </w:pPr>
            <w:r>
              <w:rPr>
                <w:rFonts w:ascii="仿宋_GB2312" w:hAnsi="仿宋_GB2312" w:cs="仿宋_GB2312" w:eastAsia="仿宋_GB2312"/>
              </w:rPr>
              <w:t>▲（2）支持66W或以上有线超级快充；</w:t>
            </w:r>
          </w:p>
          <w:p>
            <w:pPr>
              <w:pStyle w:val="null3"/>
            </w:pPr>
            <w:r>
              <w:rPr>
                <w:rFonts w:ascii="仿宋_GB2312" w:hAnsi="仿宋_GB2312" w:cs="仿宋_GB2312" w:eastAsia="仿宋_GB2312"/>
              </w:rPr>
              <w:t>6、网络支持：支持中国移动、中国联通、中国电信5G（包含SA/NSA）/4G/3G/2G通信网络制式，双卡双待；</w:t>
            </w:r>
          </w:p>
          <w:p>
            <w:pPr>
              <w:pStyle w:val="null3"/>
            </w:pPr>
            <w:r>
              <w:rPr>
                <w:rFonts w:ascii="仿宋_GB2312" w:hAnsi="仿宋_GB2312" w:cs="仿宋_GB2312" w:eastAsia="仿宋_GB2312"/>
              </w:rPr>
              <w:t>▲7、定位功能：安全系统仅支持单北斗定位；</w:t>
            </w:r>
          </w:p>
          <w:p>
            <w:pPr>
              <w:pStyle w:val="null3"/>
            </w:pPr>
            <w:r>
              <w:rPr>
                <w:rFonts w:ascii="仿宋_GB2312" w:hAnsi="仿宋_GB2312" w:cs="仿宋_GB2312" w:eastAsia="仿宋_GB2312"/>
              </w:rPr>
              <w:t>8、数据接口：具备TYPE-C接口；</w:t>
            </w:r>
          </w:p>
          <w:p>
            <w:pPr>
              <w:pStyle w:val="null3"/>
            </w:pPr>
            <w:r>
              <w:rPr>
                <w:rFonts w:ascii="仿宋_GB2312" w:hAnsi="仿宋_GB2312" w:cs="仿宋_GB2312" w:eastAsia="仿宋_GB2312"/>
              </w:rPr>
              <w:t>9、音频接口：内置麦克风、听筒、喇叭、支持Type-C模拟和数字耳机，支持外放；</w:t>
            </w:r>
          </w:p>
          <w:p>
            <w:pPr>
              <w:pStyle w:val="null3"/>
            </w:pPr>
            <w:r>
              <w:rPr>
                <w:rFonts w:ascii="仿宋_GB2312" w:hAnsi="仿宋_GB2312" w:cs="仿宋_GB2312" w:eastAsia="仿宋_GB2312"/>
              </w:rPr>
              <w:t>10、支持打印功能（一体打印或蓝牙外接打印）；</w:t>
            </w:r>
          </w:p>
          <w:p>
            <w:pPr>
              <w:pStyle w:val="null3"/>
            </w:pPr>
            <w:r>
              <w:rPr>
                <w:rFonts w:ascii="仿宋_GB2312" w:hAnsi="仿宋_GB2312" w:cs="仿宋_GB2312" w:eastAsia="仿宋_GB2312"/>
              </w:rPr>
              <w:t>▲11、具备WIFI、蓝牙、NFC等无线连接功能，NFC可读取身份证信息码；</w:t>
            </w:r>
          </w:p>
          <w:p>
            <w:pPr>
              <w:pStyle w:val="null3"/>
            </w:pPr>
            <w:r>
              <w:rPr>
                <w:rFonts w:ascii="仿宋_GB2312" w:hAnsi="仿宋_GB2312" w:cs="仿宋_GB2312" w:eastAsia="仿宋_GB2312"/>
              </w:rPr>
              <w:t>12、提供流量通讯服务（3年）：≥30G国内流量/月；≥500分钟语音/月；</w:t>
            </w:r>
          </w:p>
          <w:p>
            <w:pPr>
              <w:pStyle w:val="null3"/>
            </w:pPr>
            <w:r>
              <w:rPr>
                <w:rFonts w:ascii="仿宋_GB2312" w:hAnsi="仿宋_GB2312" w:cs="仿宋_GB2312" w:eastAsia="仿宋_GB2312"/>
                <w:b/>
              </w:rPr>
              <w:t>（二）移动警务终端设备系统</w:t>
            </w:r>
          </w:p>
          <w:p>
            <w:pPr>
              <w:pStyle w:val="null3"/>
            </w:pPr>
            <w:r>
              <w:rPr>
                <w:rFonts w:ascii="仿宋_GB2312" w:hAnsi="仿宋_GB2312" w:cs="仿宋_GB2312" w:eastAsia="仿宋_GB2312"/>
              </w:rPr>
              <w:t>13、基于国产操作系统开发互联网系统、安全系统两个独立的操作系统（双系统），可按需适配移动警务生态应用和系统版本定制，且双系统可随时进行切换；</w:t>
            </w:r>
          </w:p>
          <w:p>
            <w:pPr>
              <w:pStyle w:val="null3"/>
            </w:pPr>
            <w:r>
              <w:rPr>
                <w:rFonts w:ascii="仿宋_GB2312" w:hAnsi="仿宋_GB2312" w:cs="仿宋_GB2312" w:eastAsia="仿宋_GB2312"/>
              </w:rPr>
              <w:t>14、双系统隔离</w:t>
            </w:r>
          </w:p>
          <w:p>
            <w:pPr>
              <w:pStyle w:val="null3"/>
            </w:pPr>
            <w:r>
              <w:rPr>
                <w:rFonts w:ascii="仿宋_GB2312" w:hAnsi="仿宋_GB2312" w:cs="仿宋_GB2312" w:eastAsia="仿宋_GB2312"/>
              </w:rPr>
              <w:t>（1）两个操作系统运行在不同ROM空间，独立运行，完全隔离；</w:t>
            </w:r>
          </w:p>
          <w:p>
            <w:pPr>
              <w:pStyle w:val="null3"/>
            </w:pPr>
            <w:r>
              <w:rPr>
                <w:rFonts w:ascii="仿宋_GB2312" w:hAnsi="仿宋_GB2312" w:cs="仿宋_GB2312" w:eastAsia="仿宋_GB2312"/>
              </w:rPr>
              <w:t>（2）两个系统的文件系统、网络连接、外围接口、用户数据彼此隔离，不能相互访问；</w:t>
            </w:r>
          </w:p>
          <w:p>
            <w:pPr>
              <w:pStyle w:val="null3"/>
            </w:pPr>
            <w:r>
              <w:rPr>
                <w:rFonts w:ascii="仿宋_GB2312" w:hAnsi="仿宋_GB2312" w:cs="仿宋_GB2312" w:eastAsia="仿宋_GB2312"/>
              </w:rPr>
              <w:t>（3）任何一个系统不能删除、创建或控制另外一个系统；</w:t>
            </w:r>
          </w:p>
          <w:p>
            <w:pPr>
              <w:pStyle w:val="null3"/>
            </w:pPr>
            <w:r>
              <w:rPr>
                <w:rFonts w:ascii="仿宋_GB2312" w:hAnsi="仿宋_GB2312" w:cs="仿宋_GB2312" w:eastAsia="仿宋_GB2312"/>
              </w:rPr>
              <w:t>（4）一个系统重置不影响另一个系统；</w:t>
            </w:r>
          </w:p>
          <w:p>
            <w:pPr>
              <w:pStyle w:val="null3"/>
            </w:pPr>
            <w:r>
              <w:rPr>
                <w:rFonts w:ascii="仿宋_GB2312" w:hAnsi="仿宋_GB2312" w:cs="仿宋_GB2312" w:eastAsia="仿宋_GB2312"/>
              </w:rPr>
              <w:t>15、双系统安全加固：采用陕西省公安厅统一标准的薄膜卡；</w:t>
            </w:r>
          </w:p>
          <w:p>
            <w:pPr>
              <w:pStyle w:val="null3"/>
            </w:pPr>
            <w:r>
              <w:rPr>
                <w:rFonts w:ascii="仿宋_GB2312" w:hAnsi="仿宋_GB2312" w:cs="仿宋_GB2312" w:eastAsia="仿宋_GB2312"/>
              </w:rPr>
              <w:t>16、双系统同时在线</w:t>
            </w:r>
          </w:p>
          <w:p>
            <w:pPr>
              <w:pStyle w:val="null3"/>
            </w:pPr>
            <w:r>
              <w:rPr>
                <w:rFonts w:ascii="仿宋_GB2312" w:hAnsi="仿宋_GB2312" w:cs="仿宋_GB2312" w:eastAsia="仿宋_GB2312"/>
              </w:rPr>
              <w:t>（1）支持公共APN和专属APN同时接入、同时在线；</w:t>
            </w:r>
          </w:p>
          <w:p>
            <w:pPr>
              <w:pStyle w:val="null3"/>
            </w:pPr>
            <w:r>
              <w:rPr>
                <w:rFonts w:ascii="仿宋_GB2312" w:hAnsi="仿宋_GB2312" w:cs="仿宋_GB2312" w:eastAsia="仿宋_GB2312"/>
              </w:rPr>
              <w:t>（2）一个系统能接收另外一个系统的通知消息，但不能查看数据；</w:t>
            </w:r>
          </w:p>
          <w:p>
            <w:pPr>
              <w:pStyle w:val="null3"/>
            </w:pPr>
            <w:r>
              <w:rPr>
                <w:rFonts w:ascii="仿宋_GB2312" w:hAnsi="仿宋_GB2312" w:cs="仿宋_GB2312" w:eastAsia="仿宋_GB2312"/>
              </w:rPr>
              <w:t>17、移动终端设备在满足公安部《智能手机型移动警务终端第1部分技术要求》（GA/T1466.1）情况下，配合现有平台的终端安全管控、安全接入、证书服务体系、应用鉴权体系等平台应用支撑体系可完成适配对接。</w:t>
            </w:r>
          </w:p>
          <w:p>
            <w:pPr>
              <w:pStyle w:val="null3"/>
            </w:pPr>
            <w:r>
              <w:rPr>
                <w:rFonts w:ascii="仿宋_GB2312" w:hAnsi="仿宋_GB2312" w:cs="仿宋_GB2312" w:eastAsia="仿宋_GB2312"/>
              </w:rPr>
              <w:t>18、安全水印：具有系统级全局水印功能，防止偷拍屏幕造成信息泄露，同时具有防截屏、防录屏。</w:t>
            </w:r>
          </w:p>
          <w:p>
            <w:pPr>
              <w:pStyle w:val="null3"/>
            </w:pPr>
            <w:r>
              <w:rPr>
                <w:rFonts w:ascii="仿宋_GB2312" w:hAnsi="仿宋_GB2312" w:cs="仿宋_GB2312" w:eastAsia="仿宋_GB2312"/>
                <w:b/>
              </w:rPr>
              <w:t>★注：移动终端设备应符合公安部《智能手机型移动警务终端第1部分技术要求》（GA/T1466.1），并提供公安部安全与警用电子产品质量检测中心出具的基于GA/T1466.1检测标准的检验报告。</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b/>
              </w:rPr>
              <w:t>二、新警务网站系统定制建设（</w:t>
            </w:r>
            <w:r>
              <w:rPr>
                <w:rFonts w:ascii="仿宋_GB2312" w:hAnsi="仿宋_GB2312" w:cs="仿宋_GB2312" w:eastAsia="仿宋_GB2312"/>
                <w:b/>
              </w:rPr>
              <w:t>1套）</w:t>
            </w:r>
          </w:p>
          <w:p>
            <w:pPr>
              <w:pStyle w:val="null3"/>
              <w:jc w:val="both"/>
            </w:pPr>
            <w:r>
              <w:rPr>
                <w:rFonts w:ascii="仿宋_GB2312" w:hAnsi="仿宋_GB2312" w:cs="仿宋_GB2312" w:eastAsia="仿宋_GB2312"/>
              </w:rPr>
              <w:t>1、涵盖用户管理模块，实现用户登录、信息修改发布、定制化展现等界面及功能，可创建不同权限的用户角色，如：管理员、普通用户等。管理员可进行系统设置、用户信息管理、权限分配等操作；普通用户只能进行与自身业务相关的简单操作。</w:t>
            </w:r>
          </w:p>
          <w:p>
            <w:pPr>
              <w:pStyle w:val="null3"/>
            </w:pPr>
            <w:r>
              <w:rPr>
                <w:rFonts w:ascii="仿宋_GB2312" w:hAnsi="仿宋_GB2312" w:cs="仿宋_GB2312" w:eastAsia="仿宋_GB2312"/>
              </w:rPr>
              <w:t>2、系统在正常负载情况下，各类操作的平均响应时间应≤3秒。对于复杂的业务查询，多条件组合查询，响应时间≤5秒。</w:t>
            </w:r>
          </w:p>
          <w:p>
            <w:pPr>
              <w:pStyle w:val="null3"/>
            </w:pPr>
            <w:r>
              <w:rPr>
                <w:rFonts w:ascii="仿宋_GB2312" w:hAnsi="仿宋_GB2312" w:cs="仿宋_GB2312" w:eastAsia="仿宋_GB2312"/>
              </w:rPr>
              <w:t>3、支持≥1000个用户同时在线使用，且在并发用户数达到系统最高支持同时在线用户数时，可保持正常流畅运行。</w:t>
            </w:r>
          </w:p>
          <w:p>
            <w:pPr>
              <w:pStyle w:val="null3"/>
            </w:pPr>
            <w:r>
              <w:rPr>
                <w:rFonts w:ascii="仿宋_GB2312" w:hAnsi="仿宋_GB2312" w:cs="仿宋_GB2312" w:eastAsia="仿宋_GB2312"/>
              </w:rPr>
              <w:t>4、支持主流操作系统（如：Windows Server、2019、2022，Linux、CentOS 8、Ubuntu 20.04等），且在不同操作系统环境下，软件应能正常安装、运行，各项功能不受影响。</w:t>
            </w:r>
          </w:p>
          <w:p>
            <w:pPr>
              <w:pStyle w:val="null3"/>
            </w:pPr>
            <w:r>
              <w:rPr>
                <w:rFonts w:ascii="仿宋_GB2312" w:hAnsi="仿宋_GB2312" w:cs="仿宋_GB2312" w:eastAsia="仿宋_GB2312"/>
              </w:rPr>
              <w:t>5、支持多种主流浏览器（如：Chrome 8.0及以上版本、IE8.0及以上版本等）运行，且界面效果，各项操作功能可正常使用，页面完全加载时间≤3秒。</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b/>
              </w:rPr>
              <w:t>三、数据库替换更新服务（</w:t>
            </w:r>
            <w:r>
              <w:rPr>
                <w:rFonts w:ascii="仿宋_GB2312" w:hAnsi="仿宋_GB2312" w:cs="仿宋_GB2312" w:eastAsia="仿宋_GB2312"/>
                <w:b/>
              </w:rPr>
              <w:t>1套）</w:t>
            </w:r>
          </w:p>
          <w:p>
            <w:pPr>
              <w:pStyle w:val="null3"/>
              <w:jc w:val="both"/>
            </w:pPr>
            <w:r>
              <w:rPr>
                <w:rFonts w:ascii="仿宋_GB2312" w:hAnsi="仿宋_GB2312" w:cs="仿宋_GB2312" w:eastAsia="仿宋_GB2312"/>
              </w:rPr>
              <w:t>从版本选型、安全策略、存储配置、网络带宽、连接并发、主备环境搭建，负载均衡等多个维度进行系统规划与优化，搭建一个满足业务需求、具备良好扩展性且安全可靠的数据库系统。</w:t>
            </w:r>
          </w:p>
          <w:p>
            <w:pPr>
              <w:pStyle w:val="null3"/>
            </w:pPr>
            <w:r>
              <w:rPr>
                <w:rFonts w:ascii="仿宋_GB2312" w:hAnsi="仿宋_GB2312" w:cs="仿宋_GB2312" w:eastAsia="仿宋_GB2312"/>
              </w:rPr>
              <w:t>1、可与国产数据库跨库同步，同步延迟≤30秒，完成旧官网现有20+张业务表梳理，提供字段映射文档。</w:t>
            </w:r>
          </w:p>
          <w:p>
            <w:pPr>
              <w:pStyle w:val="null3"/>
            </w:pPr>
            <w:r>
              <w:rPr>
                <w:rFonts w:ascii="仿宋_GB2312" w:hAnsi="仿宋_GB2312" w:cs="仿宋_GB2312" w:eastAsia="仿宋_GB2312"/>
              </w:rPr>
              <w:t>2、用户管理与权限控制</w:t>
            </w:r>
          </w:p>
          <w:p>
            <w:pPr>
              <w:pStyle w:val="null3"/>
            </w:pPr>
            <w:r>
              <w:rPr>
                <w:rFonts w:ascii="仿宋_GB2312" w:hAnsi="仿宋_GB2312" w:cs="仿宋_GB2312" w:eastAsia="仿宋_GB2312"/>
              </w:rPr>
              <w:t>（1）用户最小权限原则：为每个用户分配最小必要权限，避免过度授权；</w:t>
            </w:r>
          </w:p>
          <w:p>
            <w:pPr>
              <w:pStyle w:val="null3"/>
            </w:pPr>
            <w:r>
              <w:rPr>
                <w:rFonts w:ascii="仿宋_GB2312" w:hAnsi="仿宋_GB2312" w:cs="仿宋_GB2312" w:eastAsia="仿宋_GB2312"/>
              </w:rPr>
              <w:t>（2）定期审查用户权限：建立定期审查机制，确保权限与当前业务需求匹配；</w:t>
            </w:r>
          </w:p>
          <w:p>
            <w:pPr>
              <w:pStyle w:val="null3"/>
            </w:pPr>
            <w:r>
              <w:rPr>
                <w:rFonts w:ascii="仿宋_GB2312" w:hAnsi="仿宋_GB2312" w:cs="仿宋_GB2312" w:eastAsia="仿宋_GB2312"/>
              </w:rPr>
              <w:t>（3）删除默认测试库和匿名账户。</w:t>
            </w:r>
          </w:p>
          <w:p>
            <w:pPr>
              <w:pStyle w:val="null3"/>
            </w:pPr>
            <w:r>
              <w:rPr>
                <w:rFonts w:ascii="仿宋_GB2312" w:hAnsi="仿宋_GB2312" w:cs="仿宋_GB2312" w:eastAsia="仿宋_GB2312"/>
              </w:rPr>
              <w:t>3、密码强化</w:t>
            </w:r>
          </w:p>
          <w:p>
            <w:pPr>
              <w:pStyle w:val="null3"/>
            </w:pPr>
            <w:r>
              <w:rPr>
                <w:rFonts w:ascii="仿宋_GB2312" w:hAnsi="仿宋_GB2312" w:cs="仿宋_GB2312" w:eastAsia="仿宋_GB2312"/>
              </w:rPr>
              <w:t>（1）启用强密码插件，且确保其配置符合安全要求；</w:t>
            </w:r>
          </w:p>
          <w:p>
            <w:pPr>
              <w:pStyle w:val="null3"/>
            </w:pPr>
            <w:r>
              <w:rPr>
                <w:rFonts w:ascii="仿宋_GB2312" w:hAnsi="仿宋_GB2312" w:cs="仿宋_GB2312" w:eastAsia="仿宋_GB2312"/>
              </w:rPr>
              <w:t>（2）设置密码有效期：强制用户定期更换密码；</w:t>
            </w:r>
          </w:p>
          <w:p>
            <w:pPr>
              <w:pStyle w:val="null3"/>
            </w:pPr>
            <w:r>
              <w:rPr>
                <w:rFonts w:ascii="仿宋_GB2312" w:hAnsi="仿宋_GB2312" w:cs="仿宋_GB2312" w:eastAsia="仿宋_GB2312"/>
              </w:rPr>
              <w:t>（3）防暴力破解策略：通过插件限制登录失败次数。</w:t>
            </w:r>
          </w:p>
          <w:p>
            <w:pPr>
              <w:pStyle w:val="null3"/>
            </w:pPr>
            <w:r>
              <w:rPr>
                <w:rFonts w:ascii="仿宋_GB2312" w:hAnsi="仿宋_GB2312" w:cs="仿宋_GB2312" w:eastAsia="仿宋_GB2312"/>
              </w:rPr>
              <w:t>4、加密与访问控制</w:t>
            </w:r>
          </w:p>
          <w:p>
            <w:pPr>
              <w:pStyle w:val="null3"/>
            </w:pPr>
            <w:r>
              <w:rPr>
                <w:rFonts w:ascii="仿宋_GB2312" w:hAnsi="仿宋_GB2312" w:cs="仿宋_GB2312" w:eastAsia="仿宋_GB2312"/>
              </w:rPr>
              <w:t>（1）启用SSL/TLS加密连接：确保客户端与服务器之间的通信安全。</w:t>
            </w:r>
          </w:p>
          <w:p>
            <w:pPr>
              <w:pStyle w:val="null3"/>
            </w:pPr>
            <w:r>
              <w:rPr>
                <w:rFonts w:ascii="仿宋_GB2312" w:hAnsi="仿宋_GB2312" w:cs="仿宋_GB2312" w:eastAsia="仿宋_GB2312"/>
              </w:rPr>
              <w:t>（2）限制访问IP：通过防火墙和MySQL配置双重限制访问来源。</w:t>
            </w:r>
          </w:p>
          <w:p>
            <w:pPr>
              <w:pStyle w:val="null3"/>
            </w:pPr>
            <w:r>
              <w:rPr>
                <w:rFonts w:ascii="仿宋_GB2312" w:hAnsi="仿宋_GB2312" w:cs="仿宋_GB2312" w:eastAsia="仿宋_GB2312"/>
              </w:rPr>
              <w:t>（3）审计与监控：启用MySQL审计功能，记录所有数据库操作。</w:t>
            </w:r>
          </w:p>
          <w:p>
            <w:pPr>
              <w:pStyle w:val="null3"/>
            </w:pPr>
            <w:r>
              <w:rPr>
                <w:rFonts w:ascii="仿宋_GB2312" w:hAnsi="仿宋_GB2312" w:cs="仿宋_GB2312" w:eastAsia="仿宋_GB2312"/>
              </w:rPr>
              <w:t>5、备份与恢复安全</w:t>
            </w:r>
          </w:p>
          <w:p>
            <w:pPr>
              <w:pStyle w:val="null3"/>
            </w:pPr>
            <w:r>
              <w:rPr>
                <w:rFonts w:ascii="仿宋_GB2312" w:hAnsi="仿宋_GB2312" w:cs="仿宋_GB2312" w:eastAsia="仿宋_GB2312"/>
              </w:rPr>
              <w:t>（1）加密备份：使用AES加密保护数据库备份文件。</w:t>
            </w:r>
          </w:p>
          <w:p>
            <w:pPr>
              <w:pStyle w:val="null3"/>
            </w:pPr>
            <w:r>
              <w:rPr>
                <w:rFonts w:ascii="仿宋_GB2312" w:hAnsi="仿宋_GB2312" w:cs="仿宋_GB2312" w:eastAsia="仿宋_GB2312"/>
              </w:rPr>
              <w:t>（2）定期备份与验证：建立定期备份机制，并验证备份文件的完整性和可恢复性。</w:t>
            </w:r>
          </w:p>
          <w:p>
            <w:pPr>
              <w:pStyle w:val="null3"/>
            </w:pPr>
            <w:r>
              <w:rPr>
                <w:rFonts w:ascii="仿宋_GB2312" w:hAnsi="仿宋_GB2312" w:cs="仿宋_GB2312" w:eastAsia="仿宋_GB2312"/>
              </w:rPr>
              <w:t>6、红线禁令：</w:t>
            </w:r>
          </w:p>
          <w:p>
            <w:pPr>
              <w:pStyle w:val="null3"/>
            </w:pPr>
            <w:r>
              <w:rPr>
                <w:rFonts w:ascii="仿宋_GB2312" w:hAnsi="仿宋_GB2312" w:cs="仿宋_GB2312" w:eastAsia="仿宋_GB2312"/>
              </w:rPr>
              <w:t>（1）禁止把MySQL服务跑在LocalSystem账户下→必须专用NT SERVICE\MySQL80；</w:t>
            </w:r>
          </w:p>
          <w:p>
            <w:pPr>
              <w:pStyle w:val="null3"/>
            </w:pPr>
            <w:r>
              <w:rPr>
                <w:rFonts w:ascii="仿宋_GB2312" w:hAnsi="仿宋_GB2312" w:cs="仿宋_GB2312" w:eastAsia="仿宋_GB2312"/>
              </w:rPr>
              <w:t>（2）禁止关闭Windows防火墙而直接暴露3306到公网；</w:t>
            </w:r>
          </w:p>
          <w:p>
            <w:pPr>
              <w:pStyle w:val="null3"/>
            </w:pPr>
            <w:r>
              <w:rPr>
                <w:rFonts w:ascii="仿宋_GB2312" w:hAnsi="仿宋_GB2312" w:cs="仿宋_GB2312" w:eastAsia="仿宋_GB2312"/>
              </w:rPr>
              <w:t>（3）禁止把数据目录放在系统盘C:；</w:t>
            </w:r>
          </w:p>
          <w:p>
            <w:pPr>
              <w:pStyle w:val="null3"/>
            </w:pPr>
            <w:r>
              <w:rPr>
                <w:rFonts w:ascii="仿宋_GB2312" w:hAnsi="仿宋_GB2312" w:cs="仿宋_GB2312" w:eastAsia="仿宋_GB2312"/>
              </w:rPr>
              <w:t>（4）禁止实时杀毒扫描*.ibd/*.log；</w:t>
            </w:r>
          </w:p>
          <w:p>
            <w:pPr>
              <w:pStyle w:val="null3"/>
            </w:pPr>
            <w:r>
              <w:rPr>
                <w:rFonts w:ascii="仿宋_GB2312" w:hAnsi="仿宋_GB2312" w:cs="仿宋_GB2312" w:eastAsia="仿宋_GB2312"/>
              </w:rPr>
              <w:t>（5）禁止在生产环境使用32-bit MySQL。</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b/>
              </w:rPr>
              <w:t>★</w:t>
            </w:r>
            <w:r>
              <w:rPr>
                <w:rFonts w:ascii="仿宋_GB2312" w:hAnsi="仿宋_GB2312" w:cs="仿宋_GB2312" w:eastAsia="仿宋_GB2312"/>
                <w:b/>
              </w:rPr>
              <w:t>注：</w:t>
            </w:r>
            <w:r>
              <w:rPr>
                <w:rFonts w:ascii="仿宋_GB2312" w:hAnsi="仿宋_GB2312" w:cs="仿宋_GB2312" w:eastAsia="仿宋_GB2312"/>
                <w:b/>
              </w:rPr>
              <w:t>1、“▲”为重要参数，若不符合评审要求，可能会被扣分；</w:t>
            </w:r>
          </w:p>
          <w:p>
            <w:pPr>
              <w:pStyle w:val="null3"/>
              <w:jc w:val="both"/>
            </w:pPr>
            <w:r>
              <w:rPr>
                <w:rFonts w:ascii="仿宋_GB2312" w:hAnsi="仿宋_GB2312" w:cs="仿宋_GB2312" w:eastAsia="仿宋_GB2312"/>
                <w:b/>
              </w:rPr>
              <w:t>2、除“▲”以外的参数，供应商须在响应文件中出具满足磋商文件要求的承诺函（在服务响应偏离表后承诺，格式自拟），对于未提供或未按要求提供承诺函的，按照无效响应处理；对于虚假承诺的，按照政府采购相关法律法规中有关“提供虚假材料的规定”进行处罚；对于承诺后未按照承诺内容履约的，采购人依法追究其违约责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在项目实施过程中，应根据项目实施的具体内容、实施进度以及采购人的要求，配备或增减相应的专业技术及服务人员。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须满足项目实施要求。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自合同签订之日起1个月内完成警务终端供货、网站系统建设，2个月内完成数据库建设、更新等内容。维护期3年。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保密要求： ①在项目实施过程和系统运行过程中，中标人所获得的、有关采购人或属于采购人的秘密及其他被认为是秘密的信息，未经采购人同意，不得泄露给任何第三方。任何一方为本项目需要，向任何人透露有关资料或信息且认为是其秘密信息，应事先予以注明。中标人只能将该信息用于且服务于本项目，而且只能由相应的技术人员使用。 ②中标人在项目实施中应遵循采购人各项安全保密制度和规章，所有信息数据在迁移、处理等过程中严禁私自复制、传输，完成建设任务后，档案信息 数据必须物理清除。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财务审计报告（至少包括资产负债表、利润表、现金流量表及财务报表附注，成立时间至提交响应文件截止时间不足一年的可提供成立后任意时段的资产负债表），或开标前3个月内其基本存款账户开户银行出具的资信证明及基本存款账户开户证明资料；供应商需在项目电子化交易系统中按要求上传相应证明文件并进行电子签章。（提供扫描件并进行电子签章）。</w:t>
            </w:r>
          </w:p>
        </w:tc>
        <w:tc>
          <w:tcPr>
            <w:tcW w:type="dxa" w:w="1661"/>
          </w:tcPr>
          <w:p>
            <w:pPr>
              <w:pStyle w:val="null3"/>
            </w:pPr>
            <w:r>
              <w:rPr>
                <w:rFonts w:ascii="仿宋_GB2312" w:hAnsi="仿宋_GB2312" w:cs="仿宋_GB2312" w:eastAsia="仿宋_GB2312"/>
              </w:rPr>
              <w:t>一般资格审查证明材料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供应商需在项目电子化交易系统中按要求填写《投标函》完成承诺，提供企业关联关系声明函并进行电子签章。</w:t>
            </w:r>
          </w:p>
        </w:tc>
        <w:tc>
          <w:tcPr>
            <w:tcW w:type="dxa" w:w="1661"/>
          </w:tcPr>
          <w:p>
            <w:pPr>
              <w:pStyle w:val="null3"/>
            </w:pPr>
            <w:r>
              <w:rPr>
                <w:rFonts w:ascii="仿宋_GB2312" w:hAnsi="仿宋_GB2312" w:cs="仿宋_GB2312" w:eastAsia="仿宋_GB2312"/>
              </w:rPr>
              <w:t>一般资格审查证明材料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法人或者其他组织的营业执照等证明文件或者自然人身份证明；</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自2025年04月01日以来已缴存的至少一个月的社会保障资金缴存单据或社保机构开具的社会保险参保缴费情况证明，单据或证明上应有社保机构或代收机构的公章或业务专用章。依法不需要缴纳社会保障资金的投标人应提供相关证明文件；</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自2025年04月01日以来已缴存的至少一个月的纳税证明或完税证明，纳税证明或完税证明上应有代收机构或税务机关的公章或业务专用章。依法免税的投标人应提供相关文件证明；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未被列入“信用中国”网站（www.creditchina.gov.cn）失信被执行人和重大税收违法失信主体，不得为“中国政府采购网”（www.ccgp.gov.cn）政府采购严重违法失信行为记录名单中禁止参加政府采购活动的投标人；</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法定代表人/非法人单位负责人授权委托书</w:t>
            </w:r>
          </w:p>
        </w:tc>
        <w:tc>
          <w:tcPr>
            <w:tcW w:type="dxa" w:w="3322"/>
          </w:tcPr>
          <w:p>
            <w:pPr>
              <w:pStyle w:val="null3"/>
            </w:pPr>
            <w:r>
              <w:rPr>
                <w:rFonts w:ascii="仿宋_GB2312" w:hAnsi="仿宋_GB2312" w:cs="仿宋_GB2312" w:eastAsia="仿宋_GB2312"/>
              </w:rPr>
              <w:t>须提供法定代表人/非法人单位负责人授权书(附法定代表人/非法人单位负责人、被授权人身份证复印件)；法定代表人/非法人单位负责人直接参加磋商的，须提供法定代表人/非法人单位负责人身份证明文件；</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提供非联合体声明；</w:t>
            </w:r>
          </w:p>
        </w:tc>
        <w:tc>
          <w:tcPr>
            <w:tcW w:type="dxa" w:w="1661"/>
          </w:tcPr>
          <w:p>
            <w:pPr>
              <w:pStyle w:val="null3"/>
            </w:pPr>
            <w:r>
              <w:rPr>
                <w:rFonts w:ascii="仿宋_GB2312" w:hAnsi="仿宋_GB2312" w:cs="仿宋_GB2312" w:eastAsia="仿宋_GB2312"/>
              </w:rPr>
              <w:t>特殊资格审查资料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符合磋商文件中“磋商响应文件格式”要求</w:t>
            </w:r>
          </w:p>
        </w:tc>
        <w:tc>
          <w:tcPr>
            <w:tcW w:type="dxa" w:w="1661"/>
          </w:tcPr>
          <w:p>
            <w:pPr>
              <w:pStyle w:val="null3"/>
            </w:pPr>
            <w:r>
              <w:rPr>
                <w:rFonts w:ascii="仿宋_GB2312" w:hAnsi="仿宋_GB2312" w:cs="仿宋_GB2312" w:eastAsia="仿宋_GB2312"/>
              </w:rPr>
              <w:t>响应文件封面 服务响应偏离表 商务响应偏离表 一般资格审查证明材料 服务方案 标的清单 特殊资格审查资料 报价表 响应函 类似业绩一览表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磋商响应函签字盖章</w:t>
            </w:r>
          </w:p>
        </w:tc>
        <w:tc>
          <w:tcPr>
            <w:tcW w:type="dxa" w:w="3322"/>
          </w:tcPr>
          <w:p>
            <w:pPr>
              <w:pStyle w:val="null3"/>
            </w:pPr>
            <w:r>
              <w:rPr>
                <w:rFonts w:ascii="仿宋_GB2312" w:hAnsi="仿宋_GB2312" w:cs="仿宋_GB2312" w:eastAsia="仿宋_GB2312"/>
              </w:rPr>
              <w:t>文件应逐页盖章，有法定代表人（非法人单位负责人）或被授权人签字或盖章须按要求签字或盖章；</w:t>
            </w:r>
          </w:p>
        </w:tc>
        <w:tc>
          <w:tcPr>
            <w:tcW w:type="dxa" w:w="1661"/>
          </w:tcPr>
          <w:p>
            <w:pPr>
              <w:pStyle w:val="null3"/>
            </w:pPr>
            <w:r>
              <w:rPr>
                <w:rFonts w:ascii="仿宋_GB2312" w:hAnsi="仿宋_GB2312" w:cs="仿宋_GB2312" w:eastAsia="仿宋_GB2312"/>
              </w:rPr>
              <w:t>响应文件封面 服务响应偏离表 商务响应偏离表 一般资格审查证明材料 服务方案 标的清单 特殊资格审查资料 报价表 响应函 类似业绩一览表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首次只能有一个有效报价，且不能超过本项目采购预算（最高限价）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应符合磋商文件规定</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服务响应偏离表 商务响应偏离表 一般资格审查证明材料 服务方案 标的清单 特殊资格审查资料 报价表 响应函 类似业绩一览表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对磋商文件的响应程度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服务响应偏离表 商务响应偏离表 一般资格审查证明材料 服务方案 标的清单 特殊资格审查资料 报价表 类似业绩一览表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产品来源</w:t>
            </w:r>
          </w:p>
        </w:tc>
        <w:tc>
          <w:tcPr>
            <w:tcW w:type="dxa" w:w="2492"/>
          </w:tcPr>
          <w:p>
            <w:pPr>
              <w:pStyle w:val="null3"/>
            </w:pPr>
            <w:r>
              <w:rPr>
                <w:rFonts w:ascii="仿宋_GB2312" w:hAnsi="仿宋_GB2312" w:cs="仿宋_GB2312" w:eastAsia="仿宋_GB2312"/>
              </w:rPr>
              <w:t>投标人提供“技术参数与性能指标”中“移动终端设备”的合法来源渠道证明文件（投标人为代理商的提供包含但不限于：产品制造商授权或销售协议或代理协议或进货单等证明材料，供应商为制造商的提供产品为自己制造的说明材料），提供合格的证明材料得2分，本项目最高得2分； 注：未提供合法来源渠道证明材料不得分。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“技术参数与性能指标”中标“▲”的共10项为主要技术参数要求。投标人全部满足要求的得10分，每有一项不满足的扣1分，扣完10分为止。 注：投标人应提供充足的佐证材料（包含但不限于：第三方检测机构出具的检测报告或官网功能截图或宣传彩页或产品说明书）予以佐证，佐证材料应编制在投标文件中，投标人自行承担因佐证材料不全而被视为技术参数不符合打分要求的风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项目理解与整体服务计划</w:t>
            </w:r>
          </w:p>
        </w:tc>
        <w:tc>
          <w:tcPr>
            <w:tcW w:type="dxa" w:w="2492"/>
          </w:tcPr>
          <w:p>
            <w:pPr>
              <w:pStyle w:val="null3"/>
            </w:pPr>
            <w:r>
              <w:rPr>
                <w:rFonts w:ascii="仿宋_GB2312" w:hAnsi="仿宋_GB2312" w:cs="仿宋_GB2312" w:eastAsia="仿宋_GB2312"/>
              </w:rPr>
              <w:t>包含但不限于：①项目理解、②整体计划安排、③整体服务流程等内容。 1、理解全面，计划安排合理，服务流程清晰得(5-6]分； 2、理解较全面，计划安排较合理，服务流程较清晰得(3-5]分； 3、理解基本全面，计划安排基本合理，服务流程基本清晰得(2-3]分； 4、理解不全面，计划安排不合理，服务流程不清晰得(0-2]分； 5、未提供项目理解与整体服务计划不得分。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包括但不限于①网站系统建设、②数据对接及迁移、③原有架构兼容④未来系统扩容延续等。 1、方案内容合理可行、针对性强可得(6-8]分； 2、方案内容合理性、可行性、针对性较强可得(4-6]分； 3、方案内容合理性、可行性、针对性一般可得(2-4]分； 4、方案内容合理性、可行性差、针对性差可得(0-2]分； 5、未提供系统技术方案不得分。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包括但不限于①实施工作流程、②安装调试方案、③系统测试评估、④进度保障等内容。 1、工作流程清晰，安装调试方案合理，系统测试评估全面，进度有条理得(6-8]分； 2、工作流程较清晰，安装调试方案较合理，系统测试评估较全面，进度较合理得(4-6]分； 3、工作流程基本清晰，安装调试方案基本合理，系统测试评估基本全面，进度基本合理得(2-4]分； 4、工作流程不清晰，安装调试方案不合理，系统测试评估不全面，进度不合理得(0-2]分； 5、未提供实施方案不得分。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服务质量控制措施</w:t>
            </w:r>
          </w:p>
        </w:tc>
        <w:tc>
          <w:tcPr>
            <w:tcW w:type="dxa" w:w="2492"/>
          </w:tcPr>
          <w:p>
            <w:pPr>
              <w:pStyle w:val="null3"/>
            </w:pPr>
            <w:r>
              <w:rPr>
                <w:rFonts w:ascii="仿宋_GB2312" w:hAnsi="仿宋_GB2312" w:cs="仿宋_GB2312" w:eastAsia="仿宋_GB2312"/>
              </w:rPr>
              <w:t>包含但不限于：①质量目标、②质量控制措施、③质量承诺等内容。 1、质量目标明确，质量控制措施完善，质量承诺详细得(7-9]分； 2、质量目标较明确，质量控制措施较完善，质量承诺较详细得(5-7]分； 3、质量目标基本明确，质量控制措施有但完善程度一般，质量承诺简单得(2-5]分； 4、质量目标不明确，质量控制措施不完善，质量承诺不详细得(0-2]分； 5、未提供服务质量控制措施不得分。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服务人员配备</w:t>
            </w:r>
          </w:p>
        </w:tc>
        <w:tc>
          <w:tcPr>
            <w:tcW w:type="dxa" w:w="2492"/>
          </w:tcPr>
          <w:p>
            <w:pPr>
              <w:pStyle w:val="null3"/>
            </w:pPr>
            <w:r>
              <w:rPr>
                <w:rFonts w:ascii="仿宋_GB2312" w:hAnsi="仿宋_GB2312" w:cs="仿宋_GB2312" w:eastAsia="仿宋_GB2312"/>
              </w:rPr>
              <w:t>包括但不限于：①人员配备、②岗位职责划分、③从业经验、④组织管理等内容。 1、项目人员配备及岗位分工合理，组织管理内容详细、条理清晰，项目负责人和团队人员行业经验丰富得(6-8]分； 2、项目人员配备及岗位分工较合理，组织管理内容较详细、条理较清晰，项目负责人和团队人员有行业经验得(4-6]分； 3、项目人员配备及岗位分工基本合理，组织管理内容有但详细度一般，项目负责人和团队人员有行业经验得(2-4]分； 4、项目人员配备及岗位分工不合理，组织管理内容不详细、条理不清晰，项目负责人和团队人员没有行业经验得(0-2]分； 5、未提供服务人员配备方案不得分。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包括但不限于：①信息保密方案、②保密措施、③保密制度； 1、保密方案及措施完善，保密制度可行性强得(5-6]分； 2、保密方案及措施较完善，保密制度可行性较强得(3-5]分； 3、保密方案及措施基本完善，保密制度可行性一般得(2-3]分； 4、保密方案及措施不完善，保密制度可行性不强得(0-2]分。 5、未提保密措施不得分。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包括但不限于①培训目标、②培训内容、③培训方式等内容。 1、培训目标清晰、培训内容全面，培训方式得当，培训人员安排合理得(5-6]分； 2、培训目标较清晰、培训内容较全面，培训方式较得当，培训人员安排较合理得(3-5]分； 3、培训目标基本清晰、培训内容基本全面，培训方式基本得当，培训人员安排基本合理得(2-3]分； 4、培训目标不清晰、培训内容不全面，培训方式不得当，培训人员安排不合理得(0-2]分。 5、未提供培训方案不得分。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包括但不限于①售后服务方案、②售后服务承诺、③售后服务内容等。 1、售后服务方案切实可行，服务内容完整，售后承诺明确得(5-6]分； 2、售后服务方案较可行，服务内容较完整，售后承诺较明确得(3-5]分； 3、售后服务方案基本可行，服务内容基本完整，售后承诺基本明确得(2-3]分； 4、售后服务方案不切实际，服务内容较差，售后承诺不明确得(0-2]分； 5、未提供售后服务不得分。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针对本项目实际情况，提出详细的应急预案，包括但不限于可能出现的突发事件、应急措施、解决方案等。 1、应急事件考虑周全、预案制定合理，处置措施得当得(3-5]分； 2、应急事件考虚较周全、预案制定较合理，处置措施较得当得(2-3]分； 3、应急事件考虑基本周全、预案制定一般，处置措施一般得(1-2]分； 4、应急事件考虑不周全、预案制定不合理，处置措施不得当得(0-1]分； 5、未提供应急预案不得分。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供应商提供2022年1月1日以来独立承担过类似项目业绩，每个业绩计2分，最高计6分。注：业绩证明文件以合同为准，时间以合同签订时间为准，未提供或不清晰导致无法识别的不予认可。</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满足磋商文件要求且最终报价最低的供应商的价格为磋商基准价得20分，其他各供应商的最终报价得分按下列公式计算：（磋商基准价/最终磋商报价）×20％×100。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详见附件：一般资格审查证明材料</w:t>
      </w:r>
    </w:p>
    <w:p>
      <w:pPr>
        <w:pStyle w:val="null3"/>
        <w:ind w:firstLine="960"/>
      </w:pPr>
      <w:r>
        <w:rPr>
          <w:rFonts w:ascii="仿宋_GB2312" w:hAnsi="仿宋_GB2312" w:cs="仿宋_GB2312" w:eastAsia="仿宋_GB2312"/>
        </w:rPr>
        <w:t>详见附件：特殊资格审查资料</w:t>
      </w:r>
    </w:p>
    <w:p>
      <w:pPr>
        <w:pStyle w:val="null3"/>
        <w:ind w:firstLine="960"/>
      </w:pPr>
      <w:r>
        <w:rPr>
          <w:rFonts w:ascii="仿宋_GB2312" w:hAnsi="仿宋_GB2312" w:cs="仿宋_GB2312" w:eastAsia="仿宋_GB2312"/>
        </w:rPr>
        <w:t>详见附件：服务响应偏离表</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详见附件：类似业绩一览表</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详见附件：中小企业声明函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