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版本号：SXCFY2025100220251103003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蒲城“数字纪检”新建大模型平台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SXCFY20251002</w:t>
      </w:r>
      <w:r>
        <w:br/>
      </w:r>
      <w:r>
        <w:br/>
      </w:r>
      <w:r>
        <w:br/>
      </w:r>
    </w:p>
    <w:p>
      <w:pPr>
        <w:pStyle w:val="null3"/>
        <w:jc w:val="center"/>
        <w:outlineLvl w:val="2"/>
      </w:pPr>
      <w:r>
        <w:rPr>
          <w:rFonts w:ascii="仿宋_GB2312" w:hAnsi="仿宋_GB2312" w:cs="仿宋_GB2312" w:eastAsia="仿宋_GB2312"/>
          <w:sz w:val="28"/>
          <w:b/>
        </w:rPr>
        <w:t>中国共产党蒲城县纪律检查委员会</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中国共产党蒲城县纪律检查委员会</w:t>
      </w:r>
      <w:r>
        <w:rPr>
          <w:rFonts w:ascii="仿宋_GB2312" w:hAnsi="仿宋_GB2312" w:cs="仿宋_GB2312" w:eastAsia="仿宋_GB2312"/>
        </w:rPr>
        <w:t>委托，拟对</w:t>
      </w:r>
      <w:r>
        <w:rPr>
          <w:rFonts w:ascii="仿宋_GB2312" w:hAnsi="仿宋_GB2312" w:cs="仿宋_GB2312" w:eastAsia="仿宋_GB2312"/>
        </w:rPr>
        <w:t>蒲城“数字纪检”新建大模型平台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SXCFY20251002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蒲城“数字纪检”新建大模型平台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蒲城“数字纪检”7个系统基础上新建AI大模型，用于搭建自有知识库，包括各类法律法规、条例解读、文书模板、汇报总结等私有化数据，支持PDF、WORD、EXECEL等多种文件格式上传，基于检索生成技术，构建精准可靠的知识搜索服务。校园餐监管大模型实现校园餐食材采购数据的实时统计、计算和展示功能，从而达到全面监督的效果。居家养老服务补贴监督大模型通过深度学习算法对海量服务工单数据进行智能筛查，精准识别服务频率异常、服务时长异常以及被服务人员死亡等关键风险指标，建立多维度关联分析模型，自动追踪、预警异常数据。银行流水OCR大模型实现对各类银行流水纸质文件的自动化智能识别处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1、法定代表人或其授权代表：法定代表人直接参加磋商的，须出具法定代表人身份证明书；法定代表人授权代表参加磋商的，须出具法定代表人授权委托书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中国共产党蒲城县纪律检查委员会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蒲城县延安路县委大楼一楼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0913-7212073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阮旭静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029-89339538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029-89339538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开户名称：陕西诚方源项目管理有限公司</w:t>
            </w:r>
          </w:p>
          <w:p>
            <w:pPr>
              <w:pStyle w:val="null3"/>
            </w:pPr>
            <w:r>
              <w:rPr>
                <w:rFonts w:ascii="仿宋_GB2312" w:hAnsi="仿宋_GB2312" w:cs="仿宋_GB2312" w:eastAsia="仿宋_GB2312"/>
              </w:rPr>
              <w:t>开户银行：中信银行股份有限公司西安咸宁路支行</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标准。 2、采购代理服务费账户：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中国共产党蒲城县纪律检查委员会</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中国共产党蒲城县纪律检查委员会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中国共产党蒲城县纪律检查委员会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1、项目建设完成，测试与上线阶段（试运行）1.5个月后，组织初步验收；整体项目完成后（运营服务周期结束后）， 进行终验。 （1）验收内容：实现采购文件和响应文件确定的服务内容和功能要求。合同、采购文件、响应文件等作为验收依 据。 （2）参与方：由采购人组织，使用科室和乙方参加。 （3）验收流程：检查产品软件的功能及性能符合性，产品证明材 料；定制开发软件的功能等。（验收流程是否齐全，参考最终验收） （4）交付验收文档：乙方提供相关资料。 2.最终验收 项目服务期满符合最终验收条件后，乙方向甲方提交最终验收申请，启动最终验收工作，形成最终验收意见。 （1）验收条 件：交付验收合格后，成交单位根据合同、采购文件、响应文件等要求，在项目组织实施和项目实施完成后向采购人提出验收 申请。 （2）参与方：验收工作由甲方组织，使用科室、专家和乙方项目组人员一起组成验收小组进行验收，验收后提交验收 报告。 （3）验收流程： 1）由乙方提出最终验收申请，经甲方审核，材料齐全则由甲方组织验收。 2）验收小组需要对所有 与项目相关的文档进行完整性检查并对文档中的内容进行准确性审核，确保文档的完整性和内容的准确性。 3）验收小组需要 检查文档是否符合相关行业规范和项目本身制定的文档标准。 4）验收小组需要对文档进行可读性审查，评估文档是否易于理 解，尤其是对于非技术人员或后期维护人员。 （4）最终验收文档：乙方提供相关资料。 3.在甲方要求的期限内，乙方提交 成果不具备验收条件的或验收不合格的，经甲方书面同意后可以根据实际情况，给予乙方一定的宽限期进行完善和修正。在宽 限期内验收合格的，不视为违约，交付期限相应予以顺延；宽限期满仍不具备验收条件或验收不合格的，按本合同“违约责 任”条款处理。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联系人：阮旭静</w:t>
      </w:r>
    </w:p>
    <w:p>
      <w:pPr>
        <w:pStyle w:val="null3"/>
      </w:pPr>
      <w:r>
        <w:rPr>
          <w:rFonts w:ascii="仿宋_GB2312" w:hAnsi="仿宋_GB2312" w:cs="仿宋_GB2312" w:eastAsia="仿宋_GB2312"/>
        </w:rPr>
        <w:t>联系电话： 029-89339538</w:t>
      </w:r>
    </w:p>
    <w:p>
      <w:pPr>
        <w:pStyle w:val="null3"/>
      </w:pPr>
      <w:r>
        <w:rPr>
          <w:rFonts w:ascii="仿宋_GB2312" w:hAnsi="仿宋_GB2312" w:cs="仿宋_GB2312" w:eastAsia="仿宋_GB2312"/>
        </w:rPr>
        <w:t>地址：陕西省西安市新城区金花北路169号天彩大厦B座20层2001室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蒲城“数字纪检”7个系统基础上新建AI大模型，用于搭建自有知识库，包括各类法律法规、条例解读、文书模板、汇报总结等私有化数据，支持PDF、WORD、EXECEL等多种文件格式上传，基于检索生成技术，构建精准可靠的知识搜索服务。校园餐监管大模型实现校园餐食材采购数据的实时统计、计算和展示功能，从而达到全面监督的效果。居家养老服务补贴监督大模型通过深度学习算法对海量服务工单数据进行智能筛查，精准识别服务频率异常、服务时长异常以及被服务人员死亡等关键风险指标，建立多维度关联分析模型，自动追踪、预警异常数据。银行流水OCR大模型实现对各类银行流水纸质文件的自动化智能识别处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1,320,000.00</w:t>
      </w:r>
    </w:p>
    <w:p>
      <w:pPr>
        <w:pStyle w:val="null3"/>
      </w:pPr>
      <w:r>
        <w:rPr>
          <w:rFonts w:ascii="仿宋_GB2312" w:hAnsi="仿宋_GB2312" w:cs="仿宋_GB2312" w:eastAsia="仿宋_GB2312"/>
        </w:rPr>
        <w:t>采购包最高限价（元）: 1,320,000.00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蒲城“数字纪检”新建大模型平台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标的名称：蒲城“数字纪检”新建大模型平台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一、总体架构设计</w:t>
            </w:r>
          </w:p>
          <w:p>
            <w:pPr>
              <w:pStyle w:val="null3"/>
              <w:ind w:firstLine="880"/>
              <w:jc w:val="left"/>
            </w:pPr>
            <w:r>
              <w:rPr>
                <w:rFonts w:ascii="仿宋_GB2312" w:hAnsi="仿宋_GB2312" w:cs="仿宋_GB2312" w:eastAsia="仿宋_GB2312"/>
                <w:sz w:val="20"/>
                <w:b/>
              </w:rPr>
              <w:t>1、总体架构</w:t>
            </w:r>
          </w:p>
          <w:p>
            <w:pPr>
              <w:pStyle w:val="null3"/>
              <w:ind w:firstLine="400"/>
              <w:jc w:val="left"/>
            </w:pPr>
            <w:r>
              <w:rPr>
                <w:rFonts w:ascii="仿宋_GB2312" w:hAnsi="仿宋_GB2312" w:cs="仿宋_GB2312" w:eastAsia="仿宋_GB2312"/>
                <w:sz w:val="20"/>
              </w:rPr>
              <w:t>部署架构</w:t>
            </w:r>
          </w:p>
          <w:p>
            <w:pPr>
              <w:pStyle w:val="null3"/>
              <w:ind w:firstLine="400"/>
              <w:jc w:val="left"/>
            </w:pPr>
            <w:r>
              <w:rPr>
                <w:rFonts w:ascii="仿宋_GB2312" w:hAnsi="仿宋_GB2312" w:cs="仿宋_GB2312" w:eastAsia="仿宋_GB2312"/>
                <w:sz w:val="20"/>
              </w:rPr>
              <w:t>本项目采用内外网分离的双系统架构。外网数据监督系统部署于云服务器，承载公开数据的监督分析和可视化展示功能。内网</w:t>
            </w:r>
            <w:r>
              <w:rPr>
                <w:rFonts w:ascii="仿宋_GB2312" w:hAnsi="仿宋_GB2312" w:cs="仿宋_GB2312" w:eastAsia="仿宋_GB2312"/>
                <w:sz w:val="20"/>
              </w:rPr>
              <w:t>AI办案辅助平台部署于单位专网，承载涉密的办案辅助、知识服务和公文写作功能。两套系统独立运行、数据隔离，通过不同的网络环境为不同业务场景提供服务。</w:t>
            </w:r>
          </w:p>
          <w:p>
            <w:pPr>
              <w:pStyle w:val="null3"/>
              <w:ind w:firstLine="400"/>
              <w:jc w:val="left"/>
            </w:pPr>
            <w:r>
              <w:rPr>
                <w:rFonts w:ascii="仿宋_GB2312" w:hAnsi="仿宋_GB2312" w:cs="仿宋_GB2312" w:eastAsia="仿宋_GB2312"/>
                <w:sz w:val="20"/>
              </w:rPr>
              <w:t>技术架构</w:t>
            </w:r>
          </w:p>
          <w:p>
            <w:pPr>
              <w:pStyle w:val="null3"/>
              <w:ind w:firstLine="400"/>
              <w:jc w:val="left"/>
            </w:pPr>
            <w:r>
              <w:rPr>
                <w:rFonts w:ascii="仿宋_GB2312" w:hAnsi="仿宋_GB2312" w:cs="仿宋_GB2312" w:eastAsia="仿宋_GB2312"/>
                <w:sz w:val="20"/>
              </w:rPr>
              <w:t>系统采用前后端分离的技术架构。前端采用主流</w:t>
            </w:r>
            <w:r>
              <w:rPr>
                <w:rFonts w:ascii="仿宋_GB2312" w:hAnsi="仿宋_GB2312" w:cs="仿宋_GB2312" w:eastAsia="仿宋_GB2312"/>
                <w:sz w:val="20"/>
              </w:rPr>
              <w:t>Web技术框架，实现响应式页面设计，支持多终端访问。后端采用微服务架构，实现服务解耦和弹性扩展。数据层采用关系型数据库和向量数据库相结合的方式，满足结构化数据存储和向量检索的双重需求。AI层集成大语言模型服务，提供智能问答、文本生成、OCR识别等AI能力。</w:t>
            </w:r>
          </w:p>
          <w:p>
            <w:pPr>
              <w:pStyle w:val="null3"/>
              <w:ind w:firstLine="400"/>
              <w:jc w:val="left"/>
            </w:pPr>
            <w:r>
              <w:rPr>
                <w:rFonts w:ascii="仿宋_GB2312" w:hAnsi="仿宋_GB2312" w:cs="仿宋_GB2312" w:eastAsia="仿宋_GB2312"/>
                <w:sz w:val="20"/>
              </w:rPr>
              <w:t>功能架构</w:t>
            </w:r>
          </w:p>
          <w:p>
            <w:pPr>
              <w:pStyle w:val="null3"/>
              <w:ind w:firstLine="400"/>
              <w:jc w:val="left"/>
            </w:pPr>
            <w:r>
              <w:rPr>
                <w:rFonts w:ascii="仿宋_GB2312" w:hAnsi="仿宋_GB2312" w:cs="仿宋_GB2312" w:eastAsia="仿宋_GB2312"/>
                <w:sz w:val="20"/>
              </w:rPr>
              <w:t>外网系统包含基础支撑服务、智能监管可视化平台、校园餐监督智能分析、居家养老补贴监督智能分析、数据智能问答等五大功能模块。内网系统包含基础支撑服务、纪检监察知识库系统、智能法规检索与问答、智能公文写作系统、智能文档识别系统、</w:t>
            </w:r>
            <w:r>
              <w:rPr>
                <w:rFonts w:ascii="仿宋_GB2312" w:hAnsi="仿宋_GB2312" w:cs="仿宋_GB2312" w:eastAsia="仿宋_GB2312"/>
                <w:sz w:val="20"/>
              </w:rPr>
              <w:t>AI中台管理系统等六大功能模块。各功能模块相互配合，形成完整的业务闭环。</w:t>
            </w:r>
          </w:p>
          <w:p>
            <w:pPr>
              <w:pStyle w:val="null3"/>
              <w:ind w:firstLine="400"/>
              <w:jc w:val="left"/>
            </w:pPr>
            <w:r>
              <w:rPr>
                <w:rFonts w:ascii="仿宋_GB2312" w:hAnsi="仿宋_GB2312" w:cs="仿宋_GB2312" w:eastAsia="仿宋_GB2312"/>
                <w:sz w:val="20"/>
              </w:rPr>
              <w:t>2、外网数据监督系统建设内容</w:t>
            </w:r>
          </w:p>
          <w:p>
            <w:pPr>
              <w:pStyle w:val="null3"/>
              <w:ind w:firstLine="400"/>
              <w:jc w:val="left"/>
            </w:pPr>
            <w:r>
              <w:rPr>
                <w:rFonts w:ascii="仿宋_GB2312" w:hAnsi="仿宋_GB2312" w:cs="仿宋_GB2312" w:eastAsia="仿宋_GB2312"/>
                <w:sz w:val="20"/>
              </w:rPr>
              <w:t>外网数据监督系统主要面向公开数据的智能监督和可视化展示。系统建设用户登录管理和权限管理等基础支撑功能，实现账号密码登录认证和基于角色的权限控制。建设智能监管可视化平台，通过数据大屏实时展示预警统计、趋势分析、风险分布等监督指标，支持多维度数据查询统计和多种图表可视化展示，提供统计报表导出和</w:t>
            </w:r>
            <w:r>
              <w:rPr>
                <w:rFonts w:ascii="仿宋_GB2312" w:hAnsi="仿宋_GB2312" w:cs="仿宋_GB2312" w:eastAsia="仿宋_GB2312"/>
                <w:sz w:val="20"/>
              </w:rPr>
              <w:t>AI智能问答功能。</w:t>
            </w:r>
          </w:p>
          <w:p>
            <w:pPr>
              <w:pStyle w:val="null3"/>
              <w:ind w:firstLine="400"/>
              <w:jc w:val="left"/>
            </w:pPr>
            <w:r>
              <w:rPr>
                <w:rFonts w:ascii="仿宋_GB2312" w:hAnsi="仿宋_GB2312" w:cs="仿宋_GB2312" w:eastAsia="仿宋_GB2312"/>
                <w:sz w:val="20"/>
              </w:rPr>
              <w:t>建设校园餐监督智能分析功能，对接校园餐食平台数据接口，获取学校食堂采购数据并定时自动同步。运用统计算法识别食材采购价格异常，分析采购数量和频次等异常行为，综合多个因素进行风险评估并自动预警推送，预警准确率达到</w:t>
            </w:r>
            <w:r>
              <w:rPr>
                <w:rFonts w:ascii="仿宋_GB2312" w:hAnsi="仿宋_GB2312" w:cs="仿宋_GB2312" w:eastAsia="仿宋_GB2312"/>
                <w:sz w:val="20"/>
              </w:rPr>
              <w:t>90%以上。支持预警信息的核实、线索登记、处理跟踪和结果反馈全流程管理。</w:t>
            </w:r>
          </w:p>
          <w:p>
            <w:pPr>
              <w:pStyle w:val="null3"/>
              <w:ind w:firstLine="400"/>
              <w:jc w:val="left"/>
            </w:pPr>
            <w:r>
              <w:rPr>
                <w:rFonts w:ascii="仿宋_GB2312" w:hAnsi="仿宋_GB2312" w:cs="仿宋_GB2312" w:eastAsia="仿宋_GB2312"/>
                <w:sz w:val="20"/>
              </w:rPr>
              <w:t>建设居家养老补贴监督智能分析功能，支持离线上传补贴发放明细数据，通过智能分析识别重复领取、死亡后冒领、长期未服务等异常情况。通过数据交叉比对识别服务时间冲突、服务频次异常、批量雷同记录等可疑情况，自动生成核查线索并提供问题统计分析。</w:t>
            </w:r>
          </w:p>
          <w:p>
            <w:pPr>
              <w:pStyle w:val="null3"/>
              <w:ind w:firstLine="400"/>
              <w:jc w:val="left"/>
            </w:pPr>
            <w:r>
              <w:rPr>
                <w:rFonts w:ascii="仿宋_GB2312" w:hAnsi="仿宋_GB2312" w:cs="仿宋_GB2312" w:eastAsia="仿宋_GB2312"/>
                <w:sz w:val="20"/>
              </w:rPr>
              <w:t>建设数据智能问答系统，支持用户上传</w:t>
            </w:r>
            <w:r>
              <w:rPr>
                <w:rFonts w:ascii="仿宋_GB2312" w:hAnsi="仿宋_GB2312" w:cs="仿宋_GB2312" w:eastAsia="仿宋_GB2312"/>
                <w:sz w:val="20"/>
              </w:rPr>
              <w:t>Excel文件并基于文件内容进行自然语言问答，提供数据查询、统计分析、趋势预测等功能。基于校园餐和居家养老补贴监督数据提供AI智能问答服务，支持跨数据源的关联查询和对比分析，保存用户问答历史记录。</w:t>
            </w:r>
          </w:p>
          <w:p>
            <w:pPr>
              <w:pStyle w:val="null3"/>
              <w:ind w:firstLine="400"/>
              <w:jc w:val="left"/>
            </w:pPr>
            <w:r>
              <w:rPr>
                <w:rFonts w:ascii="仿宋_GB2312" w:hAnsi="仿宋_GB2312" w:cs="仿宋_GB2312" w:eastAsia="仿宋_GB2312"/>
                <w:sz w:val="20"/>
              </w:rPr>
              <w:t>3、内网AI办案辅助平台建设内容</w:t>
            </w:r>
          </w:p>
          <w:p>
            <w:pPr>
              <w:pStyle w:val="null3"/>
              <w:ind w:firstLine="400"/>
              <w:jc w:val="left"/>
            </w:pPr>
            <w:r>
              <w:rPr>
                <w:rFonts w:ascii="仿宋_GB2312" w:hAnsi="仿宋_GB2312" w:cs="仿宋_GB2312" w:eastAsia="仿宋_GB2312"/>
                <w:sz w:val="20"/>
              </w:rPr>
              <w:t>内网</w:t>
            </w:r>
            <w:r>
              <w:rPr>
                <w:rFonts w:ascii="仿宋_GB2312" w:hAnsi="仿宋_GB2312" w:cs="仿宋_GB2312" w:eastAsia="仿宋_GB2312"/>
                <w:sz w:val="20"/>
              </w:rPr>
              <w:t>AI办案辅助平台主要面向纪检监察办案业务，提供智能化的知识服务和办案辅助功能。系统建设用户登录管理、权限管理和操作日志等基础支撑功能，实现安全登录认证和按部门岗位的精细化权限控制。</w:t>
            </w:r>
          </w:p>
          <w:p>
            <w:pPr>
              <w:pStyle w:val="null3"/>
              <w:ind w:firstLine="400"/>
              <w:jc w:val="left"/>
            </w:pPr>
            <w:r>
              <w:rPr>
                <w:rFonts w:ascii="仿宋_GB2312" w:hAnsi="仿宋_GB2312" w:cs="仿宋_GB2312" w:eastAsia="仿宋_GB2312"/>
                <w:sz w:val="20"/>
              </w:rPr>
              <w:t>建设纪检监察知识库系统，构建包含中央纪委国家监委法规、中央党内法规、机关各部门制度文件、应知应会法规、国家法律法规等五大类的专业知识库。支持多种格式文档的批量上传，提供文档去重、格式标准化、内容提取等清洗功能。对知识文档进行语义向量化处理构建向量索引，支持文档在线预览、查询编辑等维护功能，提供知识库统计分析。</w:t>
            </w:r>
          </w:p>
          <w:p>
            <w:pPr>
              <w:pStyle w:val="null3"/>
              <w:ind w:firstLine="400"/>
              <w:jc w:val="left"/>
            </w:pPr>
            <w:r>
              <w:rPr>
                <w:rFonts w:ascii="仿宋_GB2312" w:hAnsi="仿宋_GB2312" w:cs="仿宋_GB2312" w:eastAsia="仿宋_GB2312"/>
                <w:sz w:val="20"/>
              </w:rPr>
              <w:t>建设智能法规检索与问答功能，基于知识库提供关键词搜索和语义搜索。基于大语言模型提供智能问答服务，支持法律咨询、程序指引、政策解读等场景，具备多轮对话和答案溯源能力。根据案情描述自动匹配相关法规条款，辅助违纪违法行为定性并生成分析报告。</w:t>
            </w:r>
          </w:p>
          <w:p>
            <w:pPr>
              <w:pStyle w:val="null3"/>
              <w:ind w:firstLine="400"/>
              <w:jc w:val="left"/>
            </w:pPr>
            <w:r>
              <w:rPr>
                <w:rFonts w:ascii="仿宋_GB2312" w:hAnsi="仿宋_GB2312" w:cs="仿宋_GB2312" w:eastAsia="仿宋_GB2312"/>
                <w:sz w:val="20"/>
              </w:rPr>
              <w:t>建设智能公文写作系统，内置初步核实情况报告、违纪问题立案审查呈批报告、违法问题立案调查呈批报告、违纪案审查报告、违法案调查报告、严重违纪违法案审查调查报告、起诉建议书等七类纪检监察文书模板。支持输入案件关键信息后自动生成规范文书，基于知识库自动引用相关法规条款。提供在线富文本编辑器和划词优化功能，可对选中文字进行改进、扩写、缩写、润色、纠错等操作。提供格式规范性检查、文字错误检测、逻辑一致性检查、引用法条准确性核验等质检功能，支持文书保存管理和导出打印。</w:t>
            </w:r>
          </w:p>
          <w:p>
            <w:pPr>
              <w:pStyle w:val="null3"/>
              <w:ind w:firstLine="400"/>
              <w:jc w:val="left"/>
            </w:pPr>
            <w:r>
              <w:rPr>
                <w:rFonts w:ascii="仿宋_GB2312" w:hAnsi="仿宋_GB2312" w:cs="仿宋_GB2312" w:eastAsia="仿宋_GB2312"/>
                <w:sz w:val="20"/>
              </w:rPr>
              <w:t>建设智能文档识别系统，基于大模型</w:t>
            </w:r>
            <w:r>
              <w:rPr>
                <w:rFonts w:ascii="仿宋_GB2312" w:hAnsi="仿宋_GB2312" w:cs="仿宋_GB2312" w:eastAsia="仿宋_GB2312"/>
                <w:sz w:val="20"/>
              </w:rPr>
              <w:t>OCR技术实现对印刷体、手写体、表格、图文混排等复杂内容的智能识别。自动提取关键信息并进行结构化处理，支持表格数据解析和格式转换，支持识别结果人工校对。支持识别结果导出为多种格式，基于识别内容提供智能问答功能，保存识别历史记录。</w:t>
            </w:r>
          </w:p>
          <w:p>
            <w:pPr>
              <w:pStyle w:val="null3"/>
              <w:ind w:firstLine="400"/>
              <w:jc w:val="left"/>
            </w:pPr>
            <w:r>
              <w:rPr>
                <w:rFonts w:ascii="仿宋_GB2312" w:hAnsi="仿宋_GB2312" w:cs="仿宋_GB2312" w:eastAsia="仿宋_GB2312"/>
                <w:sz w:val="20"/>
              </w:rPr>
              <w:t>建设</w:t>
            </w:r>
            <w:r>
              <w:rPr>
                <w:rFonts w:ascii="仿宋_GB2312" w:hAnsi="仿宋_GB2312" w:cs="仿宋_GB2312" w:eastAsia="仿宋_GB2312"/>
                <w:sz w:val="20"/>
              </w:rPr>
              <w:t>AI中台管理系统，支持主流大语言模型的接入配置和调用管理。支持文书辅助、数据分析、法规检索等专业智能体的创建配置，提供智能体协同工作能力。提供对话历史记录、会话管理、上下文维护等功能。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435"/>
              <w:outlineLvl w:val="0"/>
            </w:pPr>
            <w:r>
              <w:rPr>
                <w:rFonts w:ascii="仿宋_GB2312" w:hAnsi="仿宋_GB2312" w:cs="仿宋_GB2312" w:eastAsia="仿宋_GB2312"/>
                <w:sz w:val="20"/>
                <w:b/>
                <w:color w:val="000000"/>
              </w:rPr>
              <w:t>二、技术参数</w:t>
            </w:r>
          </w:p>
          <w:p>
            <w:pPr>
              <w:pStyle w:val="null3"/>
              <w:ind w:firstLine="880"/>
            </w:pPr>
            <w:r>
              <w:rPr>
                <w:rFonts w:ascii="仿宋_GB2312" w:hAnsi="仿宋_GB2312" w:cs="仿宋_GB2312" w:eastAsia="仿宋_GB2312"/>
              </w:rPr>
              <w:t>1、服务器设备及相关服务</w:t>
            </w:r>
          </w:p>
          <w:tbl>
            <w:tblPr>
              <w:tblInd w:type="dxa" w:w="135"/>
              <w:tblBorders>
                <w:top w:val="none" w:color="000000" w:sz="4"/>
                <w:left w:val="none" w:color="000000" w:sz="4"/>
                <w:bottom w:val="none" w:color="000000" w:sz="4"/>
                <w:right w:val="none" w:color="000000" w:sz="4"/>
                <w:insideH w:val="none"/>
                <w:insideV w:val="none"/>
              </w:tblBorders>
            </w:tblPr>
            <w:tblGrid>
              <w:gridCol w:w="214"/>
              <w:gridCol w:w="369"/>
              <w:gridCol w:w="1490"/>
              <w:gridCol w:w="214"/>
              <w:gridCol w:w="259"/>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建设内容</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技术规格</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单位</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3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AI推理服务器</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处理器：</w:t>
                  </w:r>
                  <w:r>
                    <w:rPr>
                      <w:rFonts w:ascii="仿宋_GB2312" w:hAnsi="仿宋_GB2312" w:cs="仿宋_GB2312" w:eastAsia="仿宋_GB2312"/>
                      <w:sz w:val="20"/>
                    </w:rPr>
                    <w:t>≥2颗鲲鹏处理器（48核，2.6GHz）</w:t>
                  </w:r>
                </w:p>
              </w:tc>
              <w:tc>
                <w:tcPr>
                  <w:tcW w:type="dxa" w:w="21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25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369"/>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内存：</w:t>
                  </w:r>
                  <w:r>
                    <w:rPr>
                      <w:rFonts w:ascii="仿宋_GB2312" w:hAnsi="仿宋_GB2312" w:cs="仿宋_GB2312" w:eastAsia="仿宋_GB2312"/>
                      <w:sz w:val="20"/>
                    </w:rPr>
                    <w:t>≥512GB</w:t>
                  </w:r>
                </w:p>
              </w:tc>
              <w:tc>
                <w:tcPr>
                  <w:tcW w:type="dxa" w:w="214"/>
                  <w:vMerge/>
                  <w:tcBorders>
                    <w:top w:val="none" w:color="000000" w:sz="4"/>
                    <w:left w:val="none" w:color="000000" w:sz="4"/>
                    <w:bottom w:val="none" w:color="000000" w:sz="4"/>
                    <w:right w:val="single" w:color="000000" w:sz="4"/>
                  </w:tcBorders>
                </w:tcPr>
                <w:p/>
              </w:tc>
              <w:tc>
                <w:tcPr>
                  <w:tcW w:type="dxa" w:w="259"/>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369"/>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系统盘：</w:t>
                  </w:r>
                  <w:r>
                    <w:rPr>
                      <w:rFonts w:ascii="仿宋_GB2312" w:hAnsi="仿宋_GB2312" w:cs="仿宋_GB2312" w:eastAsia="仿宋_GB2312"/>
                      <w:sz w:val="20"/>
                    </w:rPr>
                    <w:t>≥2块960GB SSD</w:t>
                  </w:r>
                </w:p>
              </w:tc>
              <w:tc>
                <w:tcPr>
                  <w:tcW w:type="dxa" w:w="214"/>
                  <w:vMerge/>
                  <w:tcBorders>
                    <w:top w:val="none" w:color="000000" w:sz="4"/>
                    <w:left w:val="none" w:color="000000" w:sz="4"/>
                    <w:bottom w:val="none" w:color="000000" w:sz="4"/>
                    <w:right w:val="single" w:color="000000" w:sz="4"/>
                  </w:tcBorders>
                </w:tcPr>
                <w:p/>
              </w:tc>
              <w:tc>
                <w:tcPr>
                  <w:tcW w:type="dxa" w:w="259"/>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369"/>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数据盘：</w:t>
                  </w:r>
                  <w:r>
                    <w:rPr>
                      <w:rFonts w:ascii="仿宋_GB2312" w:hAnsi="仿宋_GB2312" w:cs="仿宋_GB2312" w:eastAsia="仿宋_GB2312"/>
                      <w:sz w:val="20"/>
                    </w:rPr>
                    <w:t>≥4块3.84TB SSD</w:t>
                  </w:r>
                </w:p>
              </w:tc>
              <w:tc>
                <w:tcPr>
                  <w:tcW w:type="dxa" w:w="214"/>
                  <w:vMerge/>
                  <w:tcBorders>
                    <w:top w:val="none" w:color="000000" w:sz="4"/>
                    <w:left w:val="none" w:color="000000" w:sz="4"/>
                    <w:bottom w:val="none" w:color="000000" w:sz="4"/>
                    <w:right w:val="single" w:color="000000" w:sz="4"/>
                  </w:tcBorders>
                </w:tcPr>
                <w:p/>
              </w:tc>
              <w:tc>
                <w:tcPr>
                  <w:tcW w:type="dxa" w:w="259"/>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369"/>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阵列卡：</w:t>
                  </w:r>
                  <w:r>
                    <w:rPr>
                      <w:rFonts w:ascii="仿宋_GB2312" w:hAnsi="仿宋_GB2312" w:cs="仿宋_GB2312" w:eastAsia="仿宋_GB2312"/>
                      <w:sz w:val="20"/>
                    </w:rPr>
                    <w:t>≥1块独立Raid卡，支持Raid0/1/5/6/10等</w:t>
                  </w:r>
                </w:p>
              </w:tc>
              <w:tc>
                <w:tcPr>
                  <w:tcW w:type="dxa" w:w="214"/>
                  <w:vMerge/>
                  <w:tcBorders>
                    <w:top w:val="none" w:color="000000" w:sz="4"/>
                    <w:left w:val="none" w:color="000000" w:sz="4"/>
                    <w:bottom w:val="none" w:color="000000" w:sz="4"/>
                    <w:right w:val="single" w:color="000000" w:sz="4"/>
                  </w:tcBorders>
                </w:tcPr>
                <w:p/>
              </w:tc>
              <w:tc>
                <w:tcPr>
                  <w:tcW w:type="dxa" w:w="259"/>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369"/>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网卡：</w:t>
                  </w:r>
                  <w:r>
                    <w:rPr>
                      <w:rFonts w:ascii="仿宋_GB2312" w:hAnsi="仿宋_GB2312" w:cs="仿宋_GB2312" w:eastAsia="仿宋_GB2312"/>
                      <w:sz w:val="20"/>
                    </w:rPr>
                    <w:t>≥2块双端口10G网卡，1块四端口千兆网卡</w:t>
                  </w:r>
                </w:p>
              </w:tc>
              <w:tc>
                <w:tcPr>
                  <w:tcW w:type="dxa" w:w="214"/>
                  <w:vMerge/>
                  <w:tcBorders>
                    <w:top w:val="none" w:color="000000" w:sz="4"/>
                    <w:left w:val="none" w:color="000000" w:sz="4"/>
                    <w:bottom w:val="none" w:color="000000" w:sz="4"/>
                    <w:right w:val="single" w:color="000000" w:sz="4"/>
                  </w:tcBorders>
                </w:tcPr>
                <w:p/>
              </w:tc>
              <w:tc>
                <w:tcPr>
                  <w:tcW w:type="dxa" w:w="259"/>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369"/>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NPU卡：≥4块Atlas 300I DUO卡</w:t>
                  </w:r>
                </w:p>
              </w:tc>
              <w:tc>
                <w:tcPr>
                  <w:tcW w:type="dxa" w:w="214"/>
                  <w:vMerge/>
                  <w:tcBorders>
                    <w:top w:val="none" w:color="000000" w:sz="4"/>
                    <w:left w:val="none" w:color="000000" w:sz="4"/>
                    <w:bottom w:val="none" w:color="000000" w:sz="4"/>
                    <w:right w:val="single" w:color="000000" w:sz="4"/>
                  </w:tcBorders>
                </w:tcPr>
                <w:p/>
              </w:tc>
              <w:tc>
                <w:tcPr>
                  <w:tcW w:type="dxa" w:w="259"/>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369"/>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电源：冗余电源</w:t>
                  </w:r>
                </w:p>
              </w:tc>
              <w:tc>
                <w:tcPr>
                  <w:tcW w:type="dxa" w:w="214"/>
                  <w:vMerge/>
                  <w:tcBorders>
                    <w:top w:val="none" w:color="000000" w:sz="4"/>
                    <w:left w:val="none" w:color="000000" w:sz="4"/>
                    <w:bottom w:val="none" w:color="000000" w:sz="4"/>
                    <w:right w:val="single" w:color="000000" w:sz="4"/>
                  </w:tcBorders>
                </w:tcPr>
                <w:p/>
              </w:tc>
              <w:tc>
                <w:tcPr>
                  <w:tcW w:type="dxa" w:w="259"/>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3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DeepSeekAPI服务</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DeepSeek-R1模型；</w:t>
                  </w:r>
                </w:p>
              </w:tc>
              <w:tc>
                <w:tcPr>
                  <w:tcW w:type="dxa" w:w="21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年</w:t>
                  </w:r>
                </w:p>
              </w:tc>
              <w:tc>
                <w:tcPr>
                  <w:tcW w:type="dxa" w:w="25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369"/>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API接口支持文本生成和理解。</w:t>
                  </w:r>
                </w:p>
              </w:tc>
              <w:tc>
                <w:tcPr>
                  <w:tcW w:type="dxa" w:w="214"/>
                  <w:vMerge/>
                  <w:tcBorders>
                    <w:top w:val="none" w:color="000000" w:sz="4"/>
                    <w:left w:val="none" w:color="000000" w:sz="4"/>
                    <w:bottom w:val="none" w:color="000000" w:sz="4"/>
                    <w:right w:val="single" w:color="000000" w:sz="4"/>
                  </w:tcBorders>
                </w:tcPr>
                <w:p/>
              </w:tc>
              <w:tc>
                <w:tcPr>
                  <w:tcW w:type="dxa" w:w="259"/>
                  <w:vMerge/>
                  <w:tcBorders>
                    <w:top w:val="none" w:color="000000" w:sz="4"/>
                    <w:left w:val="none" w:color="000000" w:sz="4"/>
                    <w:bottom w:val="non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3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云服务器</w:t>
                  </w:r>
                  <w:r>
                    <w:rPr>
                      <w:rFonts w:ascii="仿宋_GB2312" w:hAnsi="仿宋_GB2312" w:cs="仿宋_GB2312" w:eastAsia="仿宋_GB2312"/>
                      <w:sz w:val="20"/>
                    </w:rPr>
                    <w:t>ECS</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服务器配置</w:t>
                  </w:r>
                  <w:r>
                    <w:rPr>
                      <w:rFonts w:ascii="仿宋_GB2312" w:hAnsi="仿宋_GB2312" w:cs="仿宋_GB2312" w:eastAsia="仿宋_GB2312"/>
                      <w:sz w:val="20"/>
                    </w:rPr>
                    <w:t>≥2vCPUs,≥8G</w:t>
                  </w:r>
                </w:p>
              </w:tc>
              <w:tc>
                <w:tcPr>
                  <w:tcW w:type="dxa" w:w="21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年</w:t>
                  </w:r>
                </w:p>
              </w:tc>
              <w:tc>
                <w:tcPr>
                  <w:tcW w:type="dxa" w:w="25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369"/>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操作系统：支持但不限于银河麒麟</w:t>
                  </w:r>
                </w:p>
              </w:tc>
              <w:tc>
                <w:tcPr>
                  <w:tcW w:type="dxa" w:w="214"/>
                  <w:vMerge/>
                  <w:tcBorders>
                    <w:top w:val="none" w:color="000000" w:sz="4"/>
                    <w:left w:val="none" w:color="000000" w:sz="4"/>
                    <w:bottom w:val="none" w:color="000000" w:sz="4"/>
                    <w:right w:val="single" w:color="000000" w:sz="4"/>
                  </w:tcBorders>
                </w:tcPr>
                <w:p/>
              </w:tc>
              <w:tc>
                <w:tcPr>
                  <w:tcW w:type="dxa" w:w="259"/>
                  <w:vMerge/>
                  <w:tcBorders>
                    <w:top w:val="none" w:color="000000" w:sz="4"/>
                    <w:left w:val="none" w:color="000000" w:sz="4"/>
                    <w:bottom w:val="none" w:color="000000" w:sz="4"/>
                    <w:right w:val="single" w:color="000000" w:sz="4"/>
                  </w:tcBorders>
                </w:tcPr>
                <w:p/>
              </w:tc>
            </w:tr>
          </w:tbl>
          <w:p>
            <w:pPr>
              <w:pStyle w:val="null3"/>
              <w:ind w:firstLine="880"/>
            </w:pPr>
            <w:r>
              <w:rPr>
                <w:rFonts w:ascii="仿宋_GB2312" w:hAnsi="仿宋_GB2312" w:cs="仿宋_GB2312" w:eastAsia="仿宋_GB2312"/>
              </w:rPr>
              <w:t>2、软件系统清单</w:t>
            </w:r>
          </w:p>
          <w:tbl>
            <w:tblPr>
              <w:tblInd w:type="dxa" w:w="120"/>
              <w:tblBorders>
                <w:top w:val="none" w:color="000000" w:sz="4"/>
                <w:left w:val="none" w:color="000000" w:sz="4"/>
                <w:bottom w:val="none" w:color="000000" w:sz="4"/>
                <w:right w:val="none" w:color="000000" w:sz="4"/>
                <w:insideH w:val="none"/>
                <w:insideV w:val="none"/>
              </w:tblBorders>
            </w:tblPr>
            <w:tblGrid>
              <w:gridCol w:w="131"/>
              <w:gridCol w:w="233"/>
              <w:gridCol w:w="210"/>
              <w:gridCol w:w="294"/>
              <w:gridCol w:w="1349"/>
              <w:gridCol w:w="163"/>
              <w:gridCol w:w="173"/>
            </w:tblGrid>
            <w:tr>
              <w:tc>
                <w:tcPr>
                  <w:tcW w:type="dxa" w:w="1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一级模块</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二级模块</w:t>
                  </w:r>
                </w:p>
              </w:tc>
              <w:tc>
                <w:tcPr>
                  <w:tcW w:type="dxa" w:w="2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三级模块</w:t>
                  </w:r>
                </w:p>
              </w:tc>
              <w:tc>
                <w:tcPr>
                  <w:tcW w:type="dxa" w:w="13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功能描述</w:t>
                  </w:r>
                </w:p>
              </w:tc>
              <w:tc>
                <w:tcPr>
                  <w:tcW w:type="dxa" w:w="1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外网数据监督系统</w:t>
                  </w:r>
                </w:p>
              </w:tc>
              <w:tc>
                <w:tcPr>
                  <w:tcW w:type="dxa" w:w="2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基础支撑服务</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用户登录管理</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支持账号密码登录</w:t>
                  </w:r>
                  <w:r>
                    <w:rPr>
                      <w:rFonts w:ascii="仿宋_GB2312" w:hAnsi="仿宋_GB2312" w:cs="仿宋_GB2312" w:eastAsia="仿宋_GB2312"/>
                      <w:sz w:val="20"/>
                      <w:color w:val="000000"/>
                    </w:rPr>
                    <w:t>,提供用户注册、密码修改、密码找回功能</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权限管理</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提供基于角色的权限管理</w:t>
                  </w:r>
                  <w:r>
                    <w:rPr>
                      <w:rFonts w:ascii="仿宋_GB2312" w:hAnsi="仿宋_GB2312" w:cs="仿宋_GB2312" w:eastAsia="仿宋_GB2312"/>
                      <w:sz w:val="20"/>
                      <w:color w:val="000000"/>
                    </w:rPr>
                    <w:t>(RBAC),支持管理员、普通用户等角色设置,实现不同角色的功能访问控制</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离线数据导入</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Excel、CSV格式文件的批量导入,提供数据格式校验、错误提示,支持导入模板下载</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智能监管可视化平台</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数据大屏展示</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提供数据可视化大屏展示功能</w:t>
                  </w:r>
                  <w:r>
                    <w:rPr>
                      <w:rFonts w:ascii="仿宋_GB2312" w:hAnsi="仿宋_GB2312" w:cs="仿宋_GB2312" w:eastAsia="仿宋_GB2312"/>
                      <w:sz w:val="20"/>
                      <w:color w:val="000000"/>
                    </w:rPr>
                    <w:t>,实时显示预警统计、趋势分析等监督指标</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多维数据分析</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支持按时间、类别、地点等维度进行数据查询与统计分析</w:t>
                  </w:r>
                  <w:r>
                    <w:rPr>
                      <w:rFonts w:ascii="仿宋_GB2312" w:hAnsi="仿宋_GB2312" w:cs="仿宋_GB2312" w:eastAsia="仿宋_GB2312"/>
                      <w:sz w:val="20"/>
                      <w:color w:val="000000"/>
                    </w:rPr>
                    <w:t>,提供柱状图、饼图、折线图等可视化图表</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数据导出</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支持统计报表、分析结果导出为</w:t>
                  </w:r>
                  <w:r>
                    <w:rPr>
                      <w:rFonts w:ascii="仿宋_GB2312" w:hAnsi="仿宋_GB2312" w:cs="仿宋_GB2312" w:eastAsia="仿宋_GB2312"/>
                      <w:sz w:val="20"/>
                      <w:color w:val="000000"/>
                    </w:rPr>
                    <w:t>Excel、PDF格式</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校园餐监督智能分析</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AI智能问答</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▲基于大屏展示数据提供智能问答功能,支持数据查询、趋势分析、异常解读，支持图表展示数据</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数据接入</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对接校园餐食平台数据接口</w:t>
                  </w:r>
                  <w:r>
                    <w:rPr>
                      <w:rFonts w:ascii="仿宋_GB2312" w:hAnsi="仿宋_GB2312" w:cs="仿宋_GB2312" w:eastAsia="仿宋_GB2312"/>
                      <w:sz w:val="20"/>
                      <w:color w:val="000000"/>
                    </w:rPr>
                    <w:t>,获取采购数据、入库数据等,支持数据定时自动同步</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采购价格监测</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运用统计算法自动识别食材采购价格异常</w:t>
                  </w:r>
                  <w:r>
                    <w:rPr>
                      <w:rFonts w:ascii="仿宋_GB2312" w:hAnsi="仿宋_GB2312" w:cs="仿宋_GB2312" w:eastAsia="仿宋_GB2312"/>
                      <w:sz w:val="20"/>
                      <w:color w:val="000000"/>
                    </w:rPr>
                    <w:t>,支持多品类价格波动分析</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采购行为分析</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分析采购数量、采购频次等数据</w:t>
                  </w:r>
                  <w:r>
                    <w:rPr>
                      <w:rFonts w:ascii="仿宋_GB2312" w:hAnsi="仿宋_GB2312" w:cs="仿宋_GB2312" w:eastAsia="仿宋_GB2312"/>
                      <w:sz w:val="20"/>
                      <w:color w:val="000000"/>
                    </w:rPr>
                    <w:t>,识别采购异常行为,支持按学生人数等因素进行对比分析</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居家养老补贴监督智能分析</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补贴数据导入</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支持离线上传补贴发放明细数据</w:t>
                  </w:r>
                  <w:r>
                    <w:rPr>
                      <w:rFonts w:ascii="仿宋_GB2312" w:hAnsi="仿宋_GB2312" w:cs="仿宋_GB2312" w:eastAsia="仿宋_GB2312"/>
                      <w:sz w:val="20"/>
                      <w:color w:val="000000"/>
                    </w:rPr>
                    <w:t>,提供数据格式校验、错误提示</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补贴发放监测</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分析补贴发放数据</w:t>
                  </w:r>
                  <w:r>
                    <w:rPr>
                      <w:rFonts w:ascii="仿宋_GB2312" w:hAnsi="仿宋_GB2312" w:cs="仿宋_GB2312" w:eastAsia="仿宋_GB2312"/>
                      <w:sz w:val="20"/>
                      <w:color w:val="000000"/>
                    </w:rPr>
                    <w:t>,识别重复领取、死亡后冒领、长期未服务等异常情况</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服务真实性核验</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通过数据比对</w:t>
                  </w:r>
                  <w:r>
                    <w:rPr>
                      <w:rFonts w:ascii="仿宋_GB2312" w:hAnsi="仿宋_GB2312" w:cs="仿宋_GB2312" w:eastAsia="仿宋_GB2312"/>
                      <w:sz w:val="20"/>
                      <w:color w:val="000000"/>
                    </w:rPr>
                    <w:t>,识别服务时间冲突、服务频次异常、批量雷同记录等可疑情况</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异常行为识别</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识别深夜服务、服务内容与对象不匹配等异常服务模式</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数据智能问答系统</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Excel数据上传</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支持用户上传</w:t>
                  </w:r>
                  <w:r>
                    <w:rPr>
                      <w:rFonts w:ascii="仿宋_GB2312" w:hAnsi="仿宋_GB2312" w:cs="仿宋_GB2312" w:eastAsia="仿宋_GB2312"/>
                      <w:sz w:val="20"/>
                      <w:color w:val="000000"/>
                    </w:rPr>
                    <w:t>Excel文件,提供文件格式验证、数据预览,支持文件管理</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Excel数据问答</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基于上传的</w:t>
                  </w:r>
                  <w:r>
                    <w:rPr>
                      <w:rFonts w:ascii="仿宋_GB2312" w:hAnsi="仿宋_GB2312" w:cs="仿宋_GB2312" w:eastAsia="仿宋_GB2312"/>
                      <w:sz w:val="20"/>
                      <w:color w:val="000000"/>
                    </w:rPr>
                    <w:t>Excel内容进行自然语言问答,提供数据查询、统计分析、趋势预测,支持多轮对话</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监督数据智能分析</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基于校园餐、居家养老补贴数据提供</w:t>
                  </w:r>
                  <w:r>
                    <w:rPr>
                      <w:rFonts w:ascii="仿宋_GB2312" w:hAnsi="仿宋_GB2312" w:cs="仿宋_GB2312" w:eastAsia="仿宋_GB2312"/>
                      <w:sz w:val="20"/>
                      <w:color w:val="000000"/>
                    </w:rPr>
                    <w:t>AI智能问答,支持跨数据源关联查询、对比分析</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问答历史记录</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保存用户问答历史</w:t>
                  </w:r>
                  <w:r>
                    <w:rPr>
                      <w:rFonts w:ascii="仿宋_GB2312" w:hAnsi="仿宋_GB2312" w:cs="仿宋_GB2312" w:eastAsia="仿宋_GB2312"/>
                      <w:sz w:val="20"/>
                      <w:color w:val="000000"/>
                    </w:rPr>
                    <w:t>,支持历史记录查询、收藏</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内网</w:t>
                  </w:r>
                  <w:r>
                    <w:rPr>
                      <w:rFonts w:ascii="仿宋_GB2312" w:hAnsi="仿宋_GB2312" w:cs="仿宋_GB2312" w:eastAsia="仿宋_GB2312"/>
                      <w:sz w:val="20"/>
                      <w:color w:val="000000"/>
                    </w:rPr>
                    <w:t>AI办案辅助平台</w:t>
                  </w:r>
                </w:p>
              </w:tc>
              <w:tc>
                <w:tcPr>
                  <w:tcW w:type="dxa" w:w="2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基础支撑服务</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用户登录管理</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支持账号密码登录</w:t>
                  </w:r>
                  <w:r>
                    <w:rPr>
                      <w:rFonts w:ascii="仿宋_GB2312" w:hAnsi="仿宋_GB2312" w:cs="仿宋_GB2312" w:eastAsia="仿宋_GB2312"/>
                      <w:sz w:val="20"/>
                      <w:color w:val="000000"/>
                    </w:rPr>
                    <w:t>,提供密码修改、用户信息管理</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权限管理</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提供基于角色的权限管理</w:t>
                  </w:r>
                  <w:r>
                    <w:rPr>
                      <w:rFonts w:ascii="仿宋_GB2312" w:hAnsi="仿宋_GB2312" w:cs="仿宋_GB2312" w:eastAsia="仿宋_GB2312"/>
                      <w:sz w:val="20"/>
                      <w:color w:val="000000"/>
                    </w:rPr>
                    <w:t>(RBAC),支持按部门、岗位设置不同权限,实现功能权限、数据权限控制</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纪检监察知识库系统</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知识分类管理</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▲内置知识库体系,包括: ①中央纪委国家监委法规和规范性文件 ②中央党内法规及规范性文件 ③中央纪委国家监委机关各部门制度文件 ④纪检监察干部应知应会党内法规和国家法律 ⑤国家法律法规 支持分类管理与维护</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知识文档上传</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PDF、Word、Excel、TXT等格式文档的批量上传,提供文档自动分类、标签标注</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知识清洗</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提供格式标准化、内容提取、结构化处理等功能</w:t>
                  </w:r>
                  <w:r>
                    <w:rPr>
                      <w:rFonts w:ascii="仿宋_GB2312" w:hAnsi="仿宋_GB2312" w:cs="仿宋_GB2312" w:eastAsia="仿宋_GB2312"/>
                      <w:sz w:val="20"/>
                      <w:color w:val="000000"/>
                    </w:rPr>
                    <w:t>,支持文档质量检测</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知识向量化</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对知识文档进行语义向量化处理</w:t>
                  </w:r>
                  <w:r>
                    <w:rPr>
                      <w:rFonts w:ascii="仿宋_GB2312" w:hAnsi="仿宋_GB2312" w:cs="仿宋_GB2312" w:eastAsia="仿宋_GB2312"/>
                      <w:sz w:val="20"/>
                      <w:color w:val="000000"/>
                    </w:rPr>
                    <w:t>,构建向量索引,支持知识库智能检索</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文档在线预览</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PDF、图片等格式文档的在线预览,提供目录导航</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知识库维护</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支持知识文档的查询、编辑、删除、移动</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智能法规检索与问答</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AI智能问答</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▲基于大语言模型提供问答服务,支持法律咨询、程序指引、政策解读,具备多轮对话能力,支持知识库溯源</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案件分析定性</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根据案情描述自动匹配相关法规条款</w:t>
                  </w:r>
                  <w:r>
                    <w:rPr>
                      <w:rFonts w:ascii="仿宋_GB2312" w:hAnsi="仿宋_GB2312" w:cs="仿宋_GB2312" w:eastAsia="仿宋_GB2312"/>
                      <w:sz w:val="20"/>
                      <w:color w:val="000000"/>
                    </w:rPr>
                    <w:t>,辅助违纪违法行为定性，支持多轮对话</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问答历史</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保存用户问答历史</w:t>
                  </w:r>
                  <w:r>
                    <w:rPr>
                      <w:rFonts w:ascii="仿宋_GB2312" w:hAnsi="仿宋_GB2312" w:cs="仿宋_GB2312" w:eastAsia="仿宋_GB2312"/>
                      <w:sz w:val="20"/>
                      <w:color w:val="000000"/>
                    </w:rPr>
                    <w:t>,支持历史记录查询</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智能公文写作系统</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文书模板管理</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内置纪检监察文书模板</w:t>
                  </w:r>
                  <w:r>
                    <w:rPr>
                      <w:rFonts w:ascii="仿宋_GB2312" w:hAnsi="仿宋_GB2312" w:cs="仿宋_GB2312" w:eastAsia="仿宋_GB2312"/>
                      <w:sz w:val="20"/>
                      <w:color w:val="000000"/>
                    </w:rPr>
                    <w:t>,包括: ①初步核实情况报告 ②违纪问题立案审查呈批报告 ③违法问题立案调查呈批报告 ④违纪案的审查报告 ⑤违法案的调查报告 ⑥严重违纪违法案审查调查报告 ⑦起诉建议书</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智能文书生成</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支持用户输入案件关键信息后自动生成规范文书</w:t>
                  </w:r>
                  <w:r>
                    <w:rPr>
                      <w:rFonts w:ascii="仿宋_GB2312" w:hAnsi="仿宋_GB2312" w:cs="仿宋_GB2312" w:eastAsia="仿宋_GB2312"/>
                      <w:sz w:val="20"/>
                      <w:color w:val="000000"/>
                    </w:rPr>
                    <w:t>,基于知识库自动引用相关法规条款</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在线编辑</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提供在线富文本编辑器</w:t>
                  </w:r>
                  <w:r>
                    <w:rPr>
                      <w:rFonts w:ascii="仿宋_GB2312" w:hAnsi="仿宋_GB2312" w:cs="仿宋_GB2312" w:eastAsia="仿宋_GB2312"/>
                      <w:sz w:val="20"/>
                      <w:color w:val="000000"/>
                    </w:rPr>
                    <w:t>,支持字体、段落、表格等格式设置</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划词优化</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提供划词优化功能</w:t>
                  </w:r>
                  <w:r>
                    <w:rPr>
                      <w:rFonts w:ascii="仿宋_GB2312" w:hAnsi="仿宋_GB2312" w:cs="仿宋_GB2312" w:eastAsia="仿宋_GB2312"/>
                      <w:sz w:val="20"/>
                      <w:color w:val="000000"/>
                    </w:rPr>
                    <w:t>,可对选中文字进行改进、扩写、缩写、润色、纠错</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文书管理</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支持文书草稿保存、查询、分类管理</w:t>
                  </w:r>
                  <w:r>
                    <w:rPr>
                      <w:rFonts w:ascii="仿宋_GB2312" w:hAnsi="仿宋_GB2312" w:cs="仿宋_GB2312" w:eastAsia="仿宋_GB2312"/>
                      <w:sz w:val="20"/>
                      <w:color w:val="000000"/>
                    </w:rPr>
                    <w:t>,提供文书导出(Word、PDF)、打印功能</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智能文档识别系统</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文档上传</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支持图片</w:t>
                  </w:r>
                  <w:r>
                    <w:rPr>
                      <w:rFonts w:ascii="仿宋_GB2312" w:hAnsi="仿宋_GB2312" w:cs="仿宋_GB2312" w:eastAsia="仿宋_GB2312"/>
                      <w:sz w:val="20"/>
                      <w:color w:val="000000"/>
                    </w:rPr>
                    <w:t>(JPG、PNG)、PDF等格式文档的上传,支持文档管理</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智能</w:t>
                  </w:r>
                  <w:r>
                    <w:rPr>
                      <w:rFonts w:ascii="仿宋_GB2312" w:hAnsi="仿宋_GB2312" w:cs="仿宋_GB2312" w:eastAsia="仿宋_GB2312"/>
                      <w:sz w:val="20"/>
                      <w:color w:val="000000"/>
                    </w:rPr>
                    <w:t>OCR识别</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基于大模型</w:t>
                  </w:r>
                  <w:r>
                    <w:rPr>
                      <w:rFonts w:ascii="仿宋_GB2312" w:hAnsi="仿宋_GB2312" w:cs="仿宋_GB2312" w:eastAsia="仿宋_GB2312"/>
                      <w:sz w:val="20"/>
                      <w:color w:val="000000"/>
                    </w:rPr>
                    <w:t>OCR技术,支持印刷体、手写体、表格、图文混排的智能识别</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结构化提取</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自动提取识别文档中的关键信息并进行结构化处理</w:t>
                  </w:r>
                  <w:r>
                    <w:rPr>
                      <w:rFonts w:ascii="仿宋_GB2312" w:hAnsi="仿宋_GB2312" w:cs="仿宋_GB2312" w:eastAsia="仿宋_GB2312"/>
                      <w:sz w:val="20"/>
                      <w:color w:val="000000"/>
                    </w:rPr>
                    <w:t>,支持表格数据解析,支持识别结果的人工校对</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识别结果导出</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支持识别结果导出为</w:t>
                  </w:r>
                  <w:r>
                    <w:rPr>
                      <w:rFonts w:ascii="仿宋_GB2312" w:hAnsi="仿宋_GB2312" w:cs="仿宋_GB2312" w:eastAsia="仿宋_GB2312"/>
                      <w:sz w:val="20"/>
                      <w:color w:val="000000"/>
                    </w:rPr>
                    <w:t>Excel格式</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识别结果问答</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基于识别后的文档内容提供智能问答</w:t>
                  </w:r>
                  <w:r>
                    <w:rPr>
                      <w:rFonts w:ascii="仿宋_GB2312" w:hAnsi="仿宋_GB2312" w:cs="仿宋_GB2312" w:eastAsia="仿宋_GB2312"/>
                      <w:sz w:val="20"/>
                      <w:color w:val="000000"/>
                    </w:rPr>
                    <w:t>,支持信息查询、内容摘要、数据统计</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识别历史</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保存文档识别历史记录</w:t>
                  </w:r>
                  <w:r>
                    <w:rPr>
                      <w:rFonts w:ascii="仿宋_GB2312" w:hAnsi="仿宋_GB2312" w:cs="仿宋_GB2312" w:eastAsia="仿宋_GB2312"/>
                      <w:sz w:val="20"/>
                      <w:color w:val="000000"/>
                    </w:rPr>
                    <w:t>,支持历史查询、结果复用</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AI中台管理系统</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大模型管理</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支持大语言模型接入与配置</w:t>
                  </w:r>
                  <w:r>
                    <w:rPr>
                      <w:rFonts w:ascii="仿宋_GB2312" w:hAnsi="仿宋_GB2312" w:cs="仿宋_GB2312" w:eastAsia="仿宋_GB2312"/>
                      <w:sz w:val="20"/>
                      <w:color w:val="000000"/>
                    </w:rPr>
                    <w:t>,提供模型调用管理,支持模型预览测试</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智能体管理</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支持文书辅助、数据分析、法规检索等专业智能体的创建与配置，支持提示词优化，智能体编排</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对话管理</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提供对话历史记录、会话管理、上下文维护</w:t>
                  </w:r>
                  <w:r>
                    <w:rPr>
                      <w:rFonts w:ascii="仿宋_GB2312" w:hAnsi="仿宋_GB2312" w:cs="仿宋_GB2312" w:eastAsia="仿宋_GB2312"/>
                      <w:sz w:val="20"/>
                      <w:color w:val="000000"/>
                    </w:rPr>
                    <w:t>,支持多轮对话</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p>
              </w:tc>
              <w:tc>
                <w:tcPr>
                  <w:tcW w:type="dxa" w:w="23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使用统计</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提供平台使用统计、功能调用统计、用户行为分析</w:t>
                  </w:r>
                </w:p>
              </w:tc>
              <w:tc>
                <w:tcPr>
                  <w:tcW w:type="dxa" w:w="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pPr>
            <w:r>
              <w:rPr>
                <w:rFonts w:ascii="仿宋_GB2312" w:hAnsi="仿宋_GB2312" w:cs="仿宋_GB2312" w:eastAsia="仿宋_GB2312"/>
                <w:sz w:val="20"/>
              </w:rPr>
              <w:t>▲标注为重要参数，</w:t>
            </w:r>
            <w:r>
              <w:rPr>
                <w:rFonts w:ascii="仿宋_GB2312" w:hAnsi="仿宋_GB2312" w:cs="仿宋_GB2312" w:eastAsia="仿宋_GB2312"/>
                <w:sz w:val="20"/>
              </w:rPr>
              <w:t>需现场演示</w:t>
            </w:r>
            <w:r>
              <w:rPr>
                <w:rFonts w:ascii="仿宋_GB2312" w:hAnsi="仿宋_GB2312" w:cs="仿宋_GB2312" w:eastAsia="仿宋_GB2312"/>
                <w:sz w:val="20"/>
              </w:rPr>
              <w:t>（不接受</w:t>
            </w:r>
            <w:r>
              <w:rPr>
                <w:rFonts w:ascii="仿宋_GB2312" w:hAnsi="仿宋_GB2312" w:cs="仿宋_GB2312" w:eastAsia="仿宋_GB2312"/>
                <w:sz w:val="20"/>
              </w:rPr>
              <w:t xml:space="preserve"> PPT 及 DEMO 演示，演示时长不超过 15 分钟，供应商自带笔记本电脑及所需输出等设备，演示时网络连接由供应商自行解决）， 若现场不进行现场演示，不得分；▲参数（3条）共5.1分，每成功演示一项，得1.7分。</w:t>
            </w:r>
          </w:p>
          <w:p>
            <w:pPr>
              <w:pStyle w:val="null3"/>
              <w:ind w:firstLine="880"/>
            </w:pPr>
            <w:r>
              <w:rPr>
                <w:rFonts w:ascii="仿宋_GB2312" w:hAnsi="仿宋_GB2312" w:cs="仿宋_GB2312" w:eastAsia="仿宋_GB2312"/>
                <w:sz w:val="20"/>
              </w:rPr>
              <w:t>注：演示地点：为陕西省西安市新城区金花北路金花新都汇</w:t>
            </w:r>
            <w:r>
              <w:rPr>
                <w:rFonts w:ascii="仿宋_GB2312" w:hAnsi="仿宋_GB2312" w:cs="仿宋_GB2312" w:eastAsia="仿宋_GB2312"/>
                <w:sz w:val="20"/>
              </w:rPr>
              <w:t>A座24层会议室A，参加演示请携带授权书及被授权人身份证原件，于磋商截止时间前至演示地点进行签到等待演示，磋商截止时间前未进行现场签到，视为放弃演示。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项目实施周期自合同签订之日起6个月。项目实施应采用阶段性，分为需求分析与设计阶段（1个月）、开发与集成阶段（3.5个月）、测试与上线阶段（1.5个月）三个主要阶段。运维期2年。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1、项目建设完成，测试与上线阶段（试运行）1.5个月后，组织初步验收；整体项目完成后（运营服务周期结束后），进行终验。 （1）验收内容：实现采购文件和响应文件确定的服务内容和功能要求。合同、采购文件、响应文件等作为验收依据。 （2）参与方：由采购人组织，使用科室和乙方参加。 （3）验收流程：检查产品软件的功能及性能符合性，产品证明材料；定制开发软件的功能等。（验收流程是否齐全，参考最终验收） （4）交付验收文档：乙方提供相关资料。 2.最终验收 项目服务期满符合最终验收条件后，乙方向甲方提交最终验收申请，启动最终验收工作，形成最终验收意见。 （1）验收条件：交付验收合格后，成交单位根据合同、采购文件、响应文件等要求，在项目组织实施和项目实施完成后向采购人提出验收申请。 （2）参与方：验收工作由甲方组织，使用科室、专家和乙方项目组人员一起组成验收小组进行验收，验收后提交验收报告。 （3）验收流程： 1）由乙方提出最终验收申请，经甲方审核，材料齐全则由甲方组织验收。 2）验收小组需要对所有与项目相关的文档进行完整性检查并对文档中的内容进行准确性审核，确保文档的完整性和内容的准确性。 3）验收小组需要检查文档是否符合相关行业规范和项目本身制定的文档标准。 4）验收小组需要对文档进行可读性审查，评估文档是否易于理解，尤其是对于非技术人员或后期维护人员。 （4）最终验收文档：乙方提供相关资料。 3.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合同签订后30个日内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项目建设内容全部完成交付且初验合格后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单位未按合同要求提供服务或服务质量不能满足技术要求，且在规定时间内未使采购人满意的，采购人有权终止合同并对其违约行为进行追究。具体按《中华人民共和国民法典》中的相关条款执行。（2）任何一方若违反本合同其他约定，致使本合同无法履行，违约方应向守约方赔偿实际损失。（3）如因成交单位工作人员在履行职务过程中的疏忽、失职、过错等故意或者过失原因给甲方造成损失或侵害，包括但不限于对采购人造成财产损失、由此而导致的采购人对任何第三方的法律责任等，成交单位对此均应承担全部的赔偿责任并负责妥善处理。（4）本合同约定的损失，包括但不限于直接或间接的经济损失、律师费、诉讼费、保全费、鉴定费等损失。（5）本合同约定的违约情形独立存在，可叠加适用。成交单位按照合同约定应当向甲方支付的违约金，成交单位同意采购人从应付未付款中直接予以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一、本项目中涉及软件开发部分的源代码所有权属于采购人，项目建设完成后，成交单位须无条件向采购人移交。 二、本项目结果公告发布后，成交单位应向代理机构提供纸质响应文件一套（一正二副），纸质响应文件应与系统上传响应文件内容保持一致。 三、（一）质量标准 达到国家现行质量合格标准。 （二）质保期：硬件质保期3年 （三）项目实施要求 1、项目实施周期自合同签订之日起6个月。项目实施应采用阶段性，分为需求分析与设计阶段（1个月）、开发与集成阶段（3.5个月）、测试与上线阶段（1.5个月）三个主要阶段。运维期2年。 2、须详细说明实施本项目拟采用的团队组织方法和具体项目组织机构，保证在此项目开发期间足够的人力投入和人员的质量。 3、应提供本项目实施计划及日程安排。 （四）售后服务 1、应制定售后服务方案，包含服务标准、服务跟踪计划、系统维护、升级服务、技术支持服务及其他相关服务承诺。 2、明确承诺服务响应7*24小时电话服务，半小时内做出明确响应和安排，1小时内到达现场，2小时内做出相应的故障或责任判断，并协助采购人处理后继事宜。 （五）质量保证要求 1、符合国家有关规范要求，确保项目完成后达到最佳运行状态。 2、投标人必须按照项目质量管理和质量保证体系，提出具体措施，确保项目质量。 （六）系统培训要求 1、应针对采购人需求提供技术培训及相关系统的基础培训，内容包括软件安装调试及初始化、使用等的基本操作培训。 2、须制定出详细完整的培训方案，应能使采购人相关人员独立操作、维护、管理，确保系统能正常安全运行。 四、供应商缴纳磋商保证金时应备注“SXCFY20251002磋商保证金” 五、“供应商”是指在按照磋商公告规定获取磋商文件，拟参加响应和向采购人提供货物、工程或服务的法人、其他组织或自然人。注：其他组织： 1、事业单位参加政府采购活动的，应参照采购文件给出的响应文件格式制作，其中响应文件要求法定代表人签字须为事业单位的法定代表人签字； 2、分公司参加政府采购活动的，应参照采购文件给出的响应文件格式制作，其中响应文件要求法定代表人签字须为分公司的负责人签字； 3、个体户参加政府采购活动的，应参照采购文件给出的响应文件格式制作，其中响应文件要求法定代表人签字须为其经营者本人签字； 4自然人：自然人参加政府采购活动的，应参照采购文件给出的响应文件格式制作，其中响应文件要求盖公章的须为自然人本人的手印；不接受自然人授权他人参加投标。 5、采购文件凡是要求法定代表人签字或盖章或附身份证复印件之处，非法人单位的负责人均参照执行。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基本资格要求.docx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基本资格要求.docx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磋商响应文件的签字盖章符合采购文件要求</w:t>
            </w:r>
          </w:p>
        </w:tc>
        <w:tc>
          <w:tcPr>
            <w:tcW w:type="dxa" w:w="1661"/>
          </w:tcPr>
          <w:p>
            <w:pPr>
              <w:pStyle w:val="null3"/>
            </w:pPr>
            <w:r>
              <w:rPr>
                <w:rFonts w:ascii="仿宋_GB2312" w:hAnsi="仿宋_GB2312" w:cs="仿宋_GB2312" w:eastAsia="仿宋_GB2312"/>
              </w:rPr>
              <w:t>服务内容及服务邀请应答表 6、项目经理.docx 中小企业声明函 商务应答表 报价表 响应文件封面 分项报价表.docx 特殊资格要求.docx 拒绝贿赂承诺书.docx 残疾人福利性单位声明函 7、拟投入本项目人员.docx 8、业绩.docx 标的清单 响应函 基本资格要求.docx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“3.2.2服务要求 二、技术参数”中非▲参数（共53条）共15.9分，每条不符合扣0.3分，扣完为止。</w:t>
            </w:r>
          </w:p>
        </w:tc>
        <w:tc>
          <w:tcPr>
            <w:tcW w:type="dxa" w:w="831"/>
          </w:tcPr>
          <w:p>
            <w:pPr>
              <w:pStyle w:val="null3"/>
              <w:jc w:val="right"/>
            </w:pPr>
            <w:r>
              <w:rPr>
                <w:rFonts w:ascii="仿宋_GB2312" w:hAnsi="仿宋_GB2312" w:cs="仿宋_GB2312" w:eastAsia="仿宋_GB2312"/>
              </w:rPr>
              <w:t>15.9000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1、技术指标1.docx</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“3.2.2服务要求 二、技术参数”中▲参数为重点要求，需现场演示（不接受 PPT 及 DEMO 演示，演示时长不超过 15 分钟，供应商自带笔记本电脑及所需输出等设备，演示时网络连接由供应商自行解决）， 若现场不进行现场演示，不得分；▲参数（3条）共5.1分，每成功演示一项，得1.7分。 注：演示地点：为陕西省西安市新城区金花北路金花新都汇A座24层会议室A，参加演示请携带授权书及被授权人身份证原件，于磋商截止时间前至演示地点进行签到等待演示，磋商截止时间前未进行现场签到，视为放弃演示。</w:t>
            </w:r>
          </w:p>
        </w:tc>
        <w:tc>
          <w:tcPr>
            <w:tcW w:type="dxa" w:w="831"/>
          </w:tcPr>
          <w:p>
            <w:pPr>
              <w:pStyle w:val="null3"/>
              <w:jc w:val="right"/>
            </w:pPr>
            <w:r>
              <w:rPr>
                <w:rFonts w:ascii="仿宋_GB2312" w:hAnsi="仿宋_GB2312" w:cs="仿宋_GB2312" w:eastAsia="仿宋_GB2312"/>
              </w:rPr>
              <w:t>5.1000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投标人对项目理解分析，内容包括：（1）项目需求的理解，对项目现状与各需求之间关联关系的了解程度（2）对重点难点工作的把握与分析。一、评审标准1、针对性：方案能够紧扣项目实际情况；2、合理性：内容符合项目实际，未出现与项目执行无关的内容。二、赋分标准（满分4分）共2项内容，每项满分2分。按照“评审标准”，每个每满足一个评审标准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2、项目理解分析.docx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提供的总体服务方案内容进行赋分，方案内容包括：（1）1.1.总体架构设计（2）校园餐采购明细智慧监督模型（3）居家养老服务AI监督模型（4）银行流水OCR识别AI模型（5）1.3.1.大屏可视化系统（6）1.3.2.大屏AI问答功能（7）运维服务方案（8）软硬件供货及安装方案。一、评审标准1、完整性：方案内容全面，包括但不限于服务业务框架、服务实施框架、服务组织架构、总体架构、技术架构、网络拓扑、部署架构等内容，对评审内容中的各项要求有详细描述；2、专业性：切合本项目实际情况，提出步骤清晰、专业性强的方案；3、针对性：全面符合用户的使用要求，系统功能完善，易于维护；4、科学性：方案能有效降低使用过程中的潜在风险和事故，能够达到对系统稳定、持续的使用要求。二、赋分标准（满分32分）共8项内容，每项内容满分4分。按照“评审标准”，每项内容每满足一项评审标准得4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3、总体服务方案.docx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的实施方案内容进行赋分，方案内容包括：（1）服务期内各项工作进度安排；（2）服务期内各项工作的进度保障措施；（3）服务质量保障措施；（4）针对各类突发状况的不同应急保障措施。一、评审标准1、完整性：方案必须全面，包括但不限于项目管理、计划管理、过程管理、质量管理和风险管理、交付成果、验收计划等内容，对评审内容中的各项要求有详细描述；2、可实施性：切合本项目实际情况，提出步骤清晰、专业性强、合理的方案；3、针对性：方案能够紧扣项目实际需求，内容科学，保障项目顺利实施。二、赋分标准（满分12分）共4项内容，每项内容满分3分。按照“评审标准”，每项内容每满足一项评审标准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4、实施方案.docx</w:t>
            </w:r>
          </w:p>
        </w:tc>
      </w:tr>
      <w:tr>
        <w:tc>
          <w:tcPr>
            <w:tcW w:type="dxa" w:w="831"/>
            <w:vMerge/>
          </w:tcPr>
          <w:p/>
        </w:tc>
        <w:tc>
          <w:tcPr>
            <w:tcW w:type="dxa" w:w="1661"/>
          </w:tcPr>
          <w:p>
            <w:pPr>
              <w:pStyle w:val="null3"/>
            </w:pPr>
            <w:r>
              <w:rPr>
                <w:rFonts w:ascii="仿宋_GB2312" w:hAnsi="仿宋_GB2312" w:cs="仿宋_GB2312" w:eastAsia="仿宋_GB2312"/>
              </w:rPr>
              <w:t>项目团队组建方案</w:t>
            </w:r>
          </w:p>
        </w:tc>
        <w:tc>
          <w:tcPr>
            <w:tcW w:type="dxa" w:w="2492"/>
          </w:tcPr>
          <w:p>
            <w:pPr>
              <w:pStyle w:val="null3"/>
            </w:pPr>
            <w:r>
              <w:rPr>
                <w:rFonts w:ascii="仿宋_GB2312" w:hAnsi="仿宋_GB2312" w:cs="仿宋_GB2312" w:eastAsia="仿宋_GB2312"/>
              </w:rPr>
              <w:t>投标人针对本项目拟投入的工作组成员情况。方案包含:（1）组织架构；（2）人员分工；（3）人员岗位职责；（4）类似项目工作经验；（5）人员管理制度等。一、评审标准：1、完整性：方案必须全面，组织架构清晰、人员分工和岗位职责划分明确，有详细的描述及佐证材料；2、针对性：专业能力强、业务经验丰富、业务管理流程清晰，能有效保障本项目实施。二、赋分标准（满分5分）共5项内容，每项内容满分1分。按照“评审标准”，每项方案每满足一项评审标准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5、项目团队组建方案.docx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项目经理：1.具备PMP证书，得1分；具有相关专业中级职称得1分，副高级及以上职称得2分。（提供证书复印件加盖公章）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6、项目经理.docx</w:t>
            </w:r>
          </w:p>
        </w:tc>
      </w:tr>
      <w:tr>
        <w:tc>
          <w:tcPr>
            <w:tcW w:type="dxa" w:w="831"/>
            <w:vMerge/>
          </w:tcPr>
          <w:p/>
        </w:tc>
        <w:tc>
          <w:tcPr>
            <w:tcW w:type="dxa" w:w="1661"/>
          </w:tcPr>
          <w:p>
            <w:pPr>
              <w:pStyle w:val="null3"/>
            </w:pPr>
            <w:r>
              <w:rPr>
                <w:rFonts w:ascii="仿宋_GB2312" w:hAnsi="仿宋_GB2312" w:cs="仿宋_GB2312" w:eastAsia="仿宋_GB2312"/>
              </w:rPr>
              <w:t>拟投入本项目团队人员</w:t>
            </w:r>
          </w:p>
        </w:tc>
        <w:tc>
          <w:tcPr>
            <w:tcW w:type="dxa" w:w="2492"/>
          </w:tcPr>
          <w:p>
            <w:pPr>
              <w:pStyle w:val="null3"/>
            </w:pPr>
            <w:r>
              <w:rPr>
                <w:rFonts w:ascii="仿宋_GB2312" w:hAnsi="仿宋_GB2312" w:cs="仿宋_GB2312" w:eastAsia="仿宋_GB2312"/>
              </w:rPr>
              <w:t>团队人员（除项目经理）：具备网络工程师证书，每提供一人得1分，最高得3分；（提供证书复印件加盖公章）。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7、拟投入本项目人员.docx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提供2022年1月1日以来类似项目业绩，每提供1份得1分，最高得5分。注：以合同签订日期为准，提供合同复印件（包括首页、签字盖章页，金额等，金额不得涂抹，涂抹视为无效）加盖公章。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15×Pmin/Pn其中：Pmin：所有有效报价的最低价。Pn：第n个供应商的报价。计算分数时四舍五入取小数点后两位。磋商小组认为供应商的报价明显低于其他通过符合性审查供应商的报价，有可能影响服务质量或者不能诚信履约的，应当要求其在评审现场合理的时间内提供书面说明，必要时提交相关证明材料；供应商不能证明其报价合理性的，磋商小组应当将其作为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详见附件：1、技术指标1.docx</w:t>
      </w:r>
    </w:p>
    <w:p>
      <w:pPr>
        <w:pStyle w:val="null3"/>
        <w:ind w:firstLine="960"/>
      </w:pPr>
      <w:r>
        <w:rPr>
          <w:rFonts w:ascii="仿宋_GB2312" w:hAnsi="仿宋_GB2312" w:cs="仿宋_GB2312" w:eastAsia="仿宋_GB2312"/>
        </w:rPr>
        <w:t>详见附件：2、项目理解分析.docx</w:t>
      </w:r>
    </w:p>
    <w:p>
      <w:pPr>
        <w:pStyle w:val="null3"/>
        <w:ind w:firstLine="960"/>
      </w:pPr>
      <w:r>
        <w:rPr>
          <w:rFonts w:ascii="仿宋_GB2312" w:hAnsi="仿宋_GB2312" w:cs="仿宋_GB2312" w:eastAsia="仿宋_GB2312"/>
        </w:rPr>
        <w:t>详见附件：3、总体服务方案.docx</w:t>
      </w:r>
    </w:p>
    <w:p>
      <w:pPr>
        <w:pStyle w:val="null3"/>
        <w:ind w:firstLine="960"/>
      </w:pPr>
      <w:r>
        <w:rPr>
          <w:rFonts w:ascii="仿宋_GB2312" w:hAnsi="仿宋_GB2312" w:cs="仿宋_GB2312" w:eastAsia="仿宋_GB2312"/>
        </w:rPr>
        <w:t>详见附件：4、实施方案.docx</w:t>
      </w:r>
    </w:p>
    <w:p>
      <w:pPr>
        <w:pStyle w:val="null3"/>
        <w:ind w:firstLine="960"/>
      </w:pPr>
      <w:r>
        <w:rPr>
          <w:rFonts w:ascii="仿宋_GB2312" w:hAnsi="仿宋_GB2312" w:cs="仿宋_GB2312" w:eastAsia="仿宋_GB2312"/>
        </w:rPr>
        <w:t>详见附件：5、项目团队组建方案.docx</w:t>
      </w:r>
    </w:p>
    <w:p>
      <w:pPr>
        <w:pStyle w:val="null3"/>
        <w:ind w:firstLine="960"/>
      </w:pPr>
      <w:r>
        <w:rPr>
          <w:rFonts w:ascii="仿宋_GB2312" w:hAnsi="仿宋_GB2312" w:cs="仿宋_GB2312" w:eastAsia="仿宋_GB2312"/>
        </w:rPr>
        <w:t>详见附件：6、项目经理.docx</w:t>
      </w:r>
    </w:p>
    <w:p>
      <w:pPr>
        <w:pStyle w:val="null3"/>
        <w:ind w:firstLine="960"/>
      </w:pPr>
      <w:r>
        <w:rPr>
          <w:rFonts w:ascii="仿宋_GB2312" w:hAnsi="仿宋_GB2312" w:cs="仿宋_GB2312" w:eastAsia="仿宋_GB2312"/>
        </w:rPr>
        <w:t>详见附件：7、拟投入本项目人员.docx</w:t>
      </w:r>
    </w:p>
    <w:p>
      <w:pPr>
        <w:pStyle w:val="null3"/>
        <w:ind w:firstLine="960"/>
      </w:pPr>
      <w:r>
        <w:rPr>
          <w:rFonts w:ascii="仿宋_GB2312" w:hAnsi="仿宋_GB2312" w:cs="仿宋_GB2312" w:eastAsia="仿宋_GB2312"/>
        </w:rPr>
        <w:t>详见附件：8、业绩.docx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