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版本号：SX-JSZB(2025)-01820251201003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蒲城县2025年度城市体检编制项目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SX-JSZB(2025)-018</w:t>
      </w:r>
      <w:r>
        <w:br/>
      </w:r>
      <w:r>
        <w:br/>
      </w:r>
      <w:r>
        <w:br/>
      </w:r>
    </w:p>
    <w:p>
      <w:pPr>
        <w:pStyle w:val="null3"/>
        <w:jc w:val="center"/>
        <w:outlineLvl w:val="2"/>
      </w:pPr>
      <w:r>
        <w:rPr>
          <w:rFonts w:ascii="仿宋_GB2312" w:hAnsi="仿宋_GB2312" w:cs="仿宋_GB2312" w:eastAsia="仿宋_GB2312"/>
          <w:sz w:val="28"/>
          <w:b/>
        </w:rPr>
        <w:t>蒲城县住房和城乡建设局</w:t>
      </w:r>
    </w:p>
    <w:p>
      <w:pPr>
        <w:pStyle w:val="null3"/>
        <w:jc w:val="center"/>
        <w:outlineLvl w:val="2"/>
      </w:pPr>
      <w:r>
        <w:rPr>
          <w:rFonts w:ascii="仿宋_GB2312" w:hAnsi="仿宋_GB2312" w:cs="仿宋_GB2312" w:eastAsia="仿宋_GB2312"/>
          <w:sz w:val="28"/>
          <w:b/>
        </w:rPr>
        <w:t>陕西巨思项目管理有限公司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陕西巨思项目管理有限公司</w:t>
      </w:r>
      <w:r>
        <w:rPr>
          <w:rFonts w:ascii="仿宋_GB2312" w:hAnsi="仿宋_GB2312" w:cs="仿宋_GB2312" w:eastAsia="仿宋_GB2312"/>
        </w:rPr>
        <w:t>（以下简称“代理机构”）受</w:t>
      </w:r>
      <w:r>
        <w:rPr>
          <w:rFonts w:ascii="仿宋_GB2312" w:hAnsi="仿宋_GB2312" w:cs="仿宋_GB2312" w:eastAsia="仿宋_GB2312"/>
        </w:rPr>
        <w:t>蒲城县住房和城乡建设局</w:t>
      </w:r>
      <w:r>
        <w:rPr>
          <w:rFonts w:ascii="仿宋_GB2312" w:hAnsi="仿宋_GB2312" w:cs="仿宋_GB2312" w:eastAsia="仿宋_GB2312"/>
        </w:rPr>
        <w:t>委托，拟对</w:t>
      </w:r>
      <w:r>
        <w:rPr>
          <w:rFonts w:ascii="仿宋_GB2312" w:hAnsi="仿宋_GB2312" w:cs="仿宋_GB2312" w:eastAsia="仿宋_GB2312"/>
        </w:rPr>
        <w:t>蒲城县2025年度城市体检编制项目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SX-JSZB(2025)-018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蒲城县2025年度城市体检编制项目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住建部强调，“‘先体检、后更新’‘无体检、不更新’，把城市体检发现的问题短板作为城市更新的重点，健全“体检发现问题、更新解决问题、评估实施效果、推动巩固提升”的闭环工作机制，一体化推进城市体检和城市更新工作”。城市体检已然成为综合评价城市发展建设状况、有针对性制定对策措施、优化城市发展目标、补齐城市建设短板、解决“城市病”问题的一项基础性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财务状况报告：提供2024年度经审计的财务报告（包括“三表一注”，即资产负债表、利润表、现金流量表及其附注，成立时间至提交响应文件截止时间不足一年的可提供成立后任意时段的资产负债表），或其基本存款账户开户银行出具的资信证明及基本存款账户证明；</w:t>
      </w:r>
    </w:p>
    <w:p>
      <w:pPr>
        <w:pStyle w:val="null3"/>
      </w:pPr>
      <w:r>
        <w:rPr>
          <w:rFonts w:ascii="仿宋_GB2312" w:hAnsi="仿宋_GB2312" w:cs="仿宋_GB2312" w:eastAsia="仿宋_GB2312"/>
        </w:rPr>
        <w:t>3、税收缴纳证明：提供投标截止日前6个月内已缴纳的至少一个月的纳税证明或完税证明（增值税或印花税等税种），依法免税的单位应提供相关证明材料；</w:t>
      </w:r>
    </w:p>
    <w:p>
      <w:pPr>
        <w:pStyle w:val="null3"/>
      </w:pPr>
      <w:r>
        <w:rPr>
          <w:rFonts w:ascii="仿宋_GB2312" w:hAnsi="仿宋_GB2312" w:cs="仿宋_GB2312" w:eastAsia="仿宋_GB2312"/>
        </w:rPr>
        <w:t>4、社会保障资金缴纳证明：提供投标截止日前6个月内已缴存的至少一个月的社会保障资金缴存单据或社保机构开具的社会保险参保缴费情况证明，依法不需要缴纳社会保障资金的单位应提供相关证明材料；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5、专业技术能力证明：提供具有履行合同所必需的设备和专业技术能力的承诺；</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7、法定代表人证明书或授权委托书：非法定代表人参加投标，须提供法定代表人授权委托书及被授权人身份证原件；法定代表人参加投标时,须提供法人身份证明书及法定代表人身份证原件；</w:t>
      </w:r>
    </w:p>
    <w:p>
      <w:pPr>
        <w:pStyle w:val="null3"/>
      </w:pPr>
      <w:r>
        <w:rPr>
          <w:rFonts w:ascii="仿宋_GB2312" w:hAnsi="仿宋_GB2312" w:cs="仿宋_GB2312" w:eastAsia="仿宋_GB2312"/>
        </w:rPr>
        <w:t>8、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蒲城县住房和城乡建设局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陕西省渭南市蒲城县城关镇古镇巷1号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路博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0913-7212651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陕西巨思项目管理有限公司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陕西省西安市经济技术开发区凤城八路158号20幢1单元6楼609室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董星、郑凌汐、高欢、宋雯静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19992817810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13892323567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开户名称：陕西巨思项目管理有限公司</w:t>
            </w:r>
          </w:p>
          <w:p>
            <w:pPr>
              <w:pStyle w:val="null3"/>
            </w:pPr>
            <w:r>
              <w:rPr>
                <w:rFonts w:ascii="仿宋_GB2312" w:hAnsi="仿宋_GB2312" w:cs="仿宋_GB2312" w:eastAsia="仿宋_GB2312"/>
              </w:rPr>
              <w:t>开户银行：中国建设银行股份有限公司西安中央领郡支行</w:t>
            </w:r>
          </w:p>
          <w:p>
            <w:pPr>
              <w:pStyle w:val="null3"/>
            </w:pPr>
            <w:r>
              <w:rPr>
                <w:rFonts w:ascii="仿宋_GB2312" w:hAnsi="仿宋_GB2312" w:cs="仿宋_GB2312" w:eastAsia="仿宋_GB2312"/>
              </w:rPr>
              <w:t>银行账号：6105 0190 0042 0000 0459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蒲城县住房和城乡建设局</w:t>
      </w:r>
      <w:r>
        <w:rPr>
          <w:rFonts w:ascii="仿宋_GB2312" w:hAnsi="仿宋_GB2312" w:cs="仿宋_GB2312" w:eastAsia="仿宋_GB2312"/>
        </w:rPr>
        <w:t>和</w:t>
      </w:r>
      <w:r>
        <w:rPr>
          <w:rFonts w:ascii="仿宋_GB2312" w:hAnsi="仿宋_GB2312" w:cs="仿宋_GB2312" w:eastAsia="仿宋_GB2312"/>
        </w:rPr>
        <w:t>陕西巨思项目管理有限公司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蒲城县住房和城乡建设局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陕西巨思项目管理有限公司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蒲城县住房和城乡建设局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陕西巨思项目管理有限公司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国家相关的规范及行业验收规范、标准执行及《财政部关于进一步加强政府采购需求和覆约验收管理的指导意见》(财库[2016]205号)文件的规定、验收由采购人组织相关单位及专家组成验收组进行。验收标准按采购文件规定的要求和响应文件及合同承诺的内容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陕西巨思项目管理有限公司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陕西巨思项目管理有限公司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陕西巨思项目管理有限公司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联系人：董星</w:t>
      </w:r>
    </w:p>
    <w:p>
      <w:pPr>
        <w:pStyle w:val="null3"/>
      </w:pPr>
      <w:r>
        <w:rPr>
          <w:rFonts w:ascii="仿宋_GB2312" w:hAnsi="仿宋_GB2312" w:cs="仿宋_GB2312" w:eastAsia="仿宋_GB2312"/>
        </w:rPr>
        <w:t>联系电话：19992817810</w:t>
      </w:r>
    </w:p>
    <w:p>
      <w:pPr>
        <w:pStyle w:val="null3"/>
      </w:pPr>
      <w:r>
        <w:rPr>
          <w:rFonts w:ascii="仿宋_GB2312" w:hAnsi="仿宋_GB2312" w:cs="仿宋_GB2312" w:eastAsia="仿宋_GB2312"/>
        </w:rPr>
        <w:t>地址：陕西省西安市经济技术开发区凤城八路158号20幢1单元6楼609室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住建部强调，“‘先体检、后更新’‘无体检、不更新’，把城市体检发现的问题短板作为城市更新的重点，健全“体检发现问题、更新解决问题、评估实施效果、推动巩固提升”的闭环工作机制，一体化推进城市体检和城市更新工作”。城市体检已然成为综合评价城市发展建设状况、有针对性制定对策措施、优化城市发展目标、补齐城市建设短板、解决“城市病”问题的一项基础性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蒲城县2025年度城市体检编制项目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标的名称：蒲城县2025年度城市体检编制项目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一、项目概括</w:t>
            </w:r>
          </w:p>
          <w:p>
            <w:pPr>
              <w:pStyle w:val="null3"/>
            </w:pPr>
            <w:r>
              <w:rPr>
                <w:rFonts w:ascii="仿宋_GB2312" w:hAnsi="仿宋_GB2312" w:cs="仿宋_GB2312" w:eastAsia="仿宋_GB2312"/>
              </w:rPr>
              <w:t>2025年住建部强调，“‘先体检、后更新’‘无体检、不更新’，把城市体检发现的问题短板作为城市更新的重点，健全“体检发现问题、更新解决问题、评估实施效果、推动巩固提升”的闭环工作机制，一体化推进城市体检和城市更新工作”。城市体检已然成为综合评价城市发展建设状况、有针对性制定对策措施、优化城市发展目标、补齐城市建设短板、解决“城市病”问题的一项基础性工作。</w:t>
            </w:r>
          </w:p>
          <w:p>
            <w:pPr>
              <w:pStyle w:val="null3"/>
            </w:pPr>
            <w:r>
              <w:rPr>
                <w:rFonts w:ascii="仿宋_GB2312" w:hAnsi="仿宋_GB2312" w:cs="仿宋_GB2312" w:eastAsia="仿宋_GB2312"/>
              </w:rPr>
              <w:t>近年来，蒲城县发展势头强劲，已全面进入推进县域经济的新阶段，基于此，蒲城县迫切需要体检手段系统评估城市现状成就、精准发现人居环境建设主要问题、明确工作实施加快“以人为本”的高质量城镇化建设，推进县域经济、城镇化同步走。城市体检是通过综合评价城市发展建设状况、有针对性制定对策措施，优化城市发展目标、补齐城市建设短板、解决“城市病”问题的一项基础性工作，以《住房城乡建设部关于全面开展城市体检工作的指导意见》(建办科〔2025〕13号)《陕西省住房和城乡建设厅关于全面开展城市体检工作的通知》（陕建城发〔2025〕6号）《县城体检工作手册》等文件为依据，坚持问题导向，从住房到小区、社区、街区、城区开展城市体检，查找群众反映强烈的难点、堵点、痛点问题。坚持目标导向，以生态宜居、城乡融合等为目标，查找影响城市竞争力、承载力和可持续发展的短板弱项。坚持结果导向，把城市体检发现的问题短板作为城市更新的重点，一体化推进城市体检和城市更新工作。通过探索完善城市体检方法和基础指标体系，创新城市体检与城市更新相结合的体制机制，为稳步实施城市更新行动奠定坚实基础。</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二、服务内容</w:t>
            </w:r>
          </w:p>
          <w:p>
            <w:pPr>
              <w:pStyle w:val="null3"/>
            </w:pPr>
            <w:r>
              <w:rPr>
                <w:rFonts w:ascii="仿宋_GB2312" w:hAnsi="仿宋_GB2312" w:cs="仿宋_GB2312" w:eastAsia="仿宋_GB2312"/>
              </w:rPr>
              <w:t>本次城市体检范围为蒲城县中心城区建成区，面积约为21.41平方公里，街区维度体检对象为奉先街道，社区维度体检对象为东街社区、古镇社区、朝阳社区、人民路社区，小区及住房维度体检对象分别包括66个小区、227栋住宅。以问题、目标双重导向，建立蒲城县特色城市体检指标体系，通过实地调研、座谈、居民满意度调查，结合大数据分析手段进行数据采集和汇总分析工作，分析城市发展中实际存在的问题，明确并提出对策建议，推动片区高质量发展。主要内容如下：</w:t>
            </w:r>
          </w:p>
          <w:p>
            <w:pPr>
              <w:pStyle w:val="null3"/>
            </w:pPr>
            <w:r>
              <w:rPr>
                <w:rFonts w:ascii="仿宋_GB2312" w:hAnsi="仿宋_GB2312" w:cs="仿宋_GB2312" w:eastAsia="仿宋_GB2312"/>
              </w:rPr>
              <w:t>1. 收集城市体检基础资料</w:t>
            </w:r>
          </w:p>
          <w:p>
            <w:pPr>
              <w:pStyle w:val="null3"/>
            </w:pPr>
            <w:r>
              <w:rPr>
                <w:rFonts w:ascii="仿宋_GB2312" w:hAnsi="仿宋_GB2312" w:cs="仿宋_GB2312" w:eastAsia="仿宋_GB2312"/>
              </w:rPr>
              <w:t>（1）制定精细调研计划，收集相关资料；</w:t>
            </w:r>
          </w:p>
          <w:p>
            <w:pPr>
              <w:pStyle w:val="null3"/>
            </w:pPr>
            <w:r>
              <w:rPr>
                <w:rFonts w:ascii="仿宋_GB2312" w:hAnsi="仿宋_GB2312" w:cs="仿宋_GB2312" w:eastAsia="仿宋_GB2312"/>
              </w:rPr>
              <w:t>（2）部门访谈，实现多部门切实参与；</w:t>
            </w:r>
          </w:p>
          <w:p>
            <w:pPr>
              <w:pStyle w:val="null3"/>
            </w:pPr>
            <w:r>
              <w:rPr>
                <w:rFonts w:ascii="仿宋_GB2312" w:hAnsi="仿宋_GB2312" w:cs="仿宋_GB2312" w:eastAsia="仿宋_GB2312"/>
              </w:rPr>
              <w:t>（3）社区调研及访谈，全面收集社区基础资料与数据；</w:t>
            </w:r>
          </w:p>
          <w:p>
            <w:pPr>
              <w:pStyle w:val="null3"/>
            </w:pPr>
            <w:r>
              <w:rPr>
                <w:rFonts w:ascii="仿宋_GB2312" w:hAnsi="仿宋_GB2312" w:cs="仿宋_GB2312" w:eastAsia="仿宋_GB2312"/>
              </w:rPr>
              <w:t>（4）编制调研问卷，开展居民满意度调研；</w:t>
            </w:r>
          </w:p>
          <w:p>
            <w:pPr>
              <w:pStyle w:val="null3"/>
            </w:pPr>
            <w:r>
              <w:rPr>
                <w:rFonts w:ascii="仿宋_GB2312" w:hAnsi="仿宋_GB2312" w:cs="仿宋_GB2312" w:eastAsia="仿宋_GB2312"/>
              </w:rPr>
              <w:t>（5）充分利用大数据分析手段，辅助城市建设情况摸底。</w:t>
            </w:r>
          </w:p>
          <w:p>
            <w:pPr>
              <w:pStyle w:val="null3"/>
            </w:pPr>
            <w:r>
              <w:rPr>
                <w:rFonts w:ascii="仿宋_GB2312" w:hAnsi="仿宋_GB2312" w:cs="仿宋_GB2312" w:eastAsia="仿宋_GB2312"/>
              </w:rPr>
              <w:t>2. 构建特色指标体系</w:t>
            </w:r>
          </w:p>
          <w:p>
            <w:pPr>
              <w:pStyle w:val="null3"/>
            </w:pPr>
            <w:r>
              <w:rPr>
                <w:rFonts w:ascii="仿宋_GB2312" w:hAnsi="仿宋_GB2312" w:cs="仿宋_GB2312" w:eastAsia="仿宋_GB2312"/>
              </w:rPr>
              <w:t>以部、厅两级指标为基础，以蒲城发展目标、现状问题、预期风险为导向，结合新一年政府工作重点，形成2025年蒲城县城市体检指标体系。</w:t>
            </w:r>
          </w:p>
          <w:p>
            <w:pPr>
              <w:pStyle w:val="null3"/>
            </w:pPr>
            <w:r>
              <w:rPr>
                <w:rFonts w:ascii="仿宋_GB2312" w:hAnsi="仿宋_GB2312" w:cs="仿宋_GB2312" w:eastAsia="仿宋_GB2312"/>
              </w:rPr>
              <w:t>3. 确定指标评估标准</w:t>
            </w:r>
          </w:p>
          <w:p>
            <w:pPr>
              <w:pStyle w:val="null3"/>
            </w:pPr>
            <w:r>
              <w:rPr>
                <w:rFonts w:ascii="仿宋_GB2312" w:hAnsi="仿宋_GB2312" w:cs="仿宋_GB2312" w:eastAsia="仿宋_GB2312"/>
              </w:rPr>
              <w:t>综合参照国际通用标准、行业标准规范、陕西省相关政策文件以及标准，精准对标蒲城县同等级的城市案例，筛选出一批关键性可比指标，制定用于城市评估的参考标准。通过指标体系对城市建设“自上而下”的对标，精准查找短板和不足。</w:t>
            </w:r>
          </w:p>
          <w:p>
            <w:pPr>
              <w:pStyle w:val="null3"/>
            </w:pPr>
            <w:r>
              <w:rPr>
                <w:rFonts w:ascii="仿宋_GB2312" w:hAnsi="仿宋_GB2312" w:cs="仿宋_GB2312" w:eastAsia="仿宋_GB2312"/>
              </w:rPr>
              <w:t>4. 明确高质量建设措施</w:t>
            </w:r>
          </w:p>
          <w:p>
            <w:pPr>
              <w:pStyle w:val="null3"/>
            </w:pPr>
            <w:r>
              <w:rPr>
                <w:rFonts w:ascii="仿宋_GB2312" w:hAnsi="仿宋_GB2312" w:cs="仿宋_GB2312" w:eastAsia="仿宋_GB2312"/>
              </w:rPr>
              <w:t>结合指标体系开展分析评价，聚焦城市建设中的关键问题和着力解决城市短板问题，围绕人民对美好生活的向往，按照轻重缓急的原则对体检发现的问题进行系统梳理、诊断分析，形成问题清单，并根据政府计划提出整治建议清单，提出蒲城县高质量建设的发展对策、实施路径以及建设措。</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三、技术要求</w:t>
            </w:r>
          </w:p>
          <w:p>
            <w:pPr>
              <w:pStyle w:val="null3"/>
            </w:pPr>
            <w:r>
              <w:rPr>
                <w:rFonts w:ascii="仿宋_GB2312" w:hAnsi="仿宋_GB2312" w:cs="仿宋_GB2312" w:eastAsia="仿宋_GB2312"/>
              </w:rPr>
              <w:t>1.社会调查及数据收集</w:t>
            </w:r>
          </w:p>
          <w:p>
            <w:pPr>
              <w:pStyle w:val="null3"/>
            </w:pPr>
            <w:r>
              <w:rPr>
                <w:rFonts w:ascii="仿宋_GB2312" w:hAnsi="仿宋_GB2312" w:cs="仿宋_GB2312" w:eastAsia="仿宋_GB2312"/>
              </w:rPr>
              <w:t>利用城市体检调研工具，开展精细化现状调研，各部门、街道办组织基层社区群众配合住建局开展网上社会满意度调查，完成相关指标数据及居民满意度调查数据的采集。</w:t>
            </w:r>
          </w:p>
          <w:p>
            <w:pPr>
              <w:pStyle w:val="null3"/>
            </w:pPr>
            <w:r>
              <w:rPr>
                <w:rFonts w:ascii="仿宋_GB2312" w:hAnsi="仿宋_GB2312" w:cs="仿宋_GB2312" w:eastAsia="仿宋_GB2312"/>
              </w:rPr>
              <w:t>2.数据分析形成初步报告</w:t>
            </w:r>
          </w:p>
          <w:p>
            <w:pPr>
              <w:pStyle w:val="null3"/>
            </w:pPr>
            <w:r>
              <w:rPr>
                <w:rFonts w:ascii="仿宋_GB2312" w:hAnsi="仿宋_GB2312" w:cs="仿宋_GB2312" w:eastAsia="仿宋_GB2312"/>
              </w:rPr>
              <w:t>采用信息化等手段，对搜集到的部门官方数据、大数据、调研问卷等多源数据进行校核，对城市体检指标数据进行全面、客观地分析评价，对照相应要求和标准，分析诊断各类问题的严重程度，系统综合、精准的识别城市病灶，形成问题清单。对于诊断出的影响群众健康和城市安全的问题，出具风险隐患通知书，对症下药，提出风险等级、可能造成的后果以及整治意见建议，形成蒲城县城市体检报告。</w:t>
            </w:r>
          </w:p>
          <w:p>
            <w:pPr>
              <w:pStyle w:val="null3"/>
            </w:pPr>
            <w:r>
              <w:rPr>
                <w:rFonts w:ascii="仿宋_GB2312" w:hAnsi="仿宋_GB2312" w:cs="仿宋_GB2312" w:eastAsia="仿宋_GB2312"/>
              </w:rPr>
              <w:t>3.汇报沟通，形成最终成果</w:t>
            </w:r>
          </w:p>
          <w:p>
            <w:pPr>
              <w:pStyle w:val="null3"/>
            </w:pPr>
            <w:r>
              <w:rPr>
                <w:rFonts w:ascii="仿宋_GB2312" w:hAnsi="仿宋_GB2312" w:cs="仿宋_GB2312" w:eastAsia="仿宋_GB2312"/>
              </w:rPr>
              <w:t>在全面汇总体检工作开展情况基础上，形成2025年蒲城县体检报告，由文本、图纸和附件等三部分组成：</w:t>
            </w:r>
          </w:p>
          <w:p>
            <w:pPr>
              <w:pStyle w:val="null3"/>
            </w:pPr>
            <w:r>
              <w:rPr>
                <w:rFonts w:ascii="仿宋_GB2312" w:hAnsi="仿宋_GB2312" w:cs="仿宋_GB2312" w:eastAsia="仿宋_GB2312"/>
              </w:rPr>
              <w:t>（1）文本内容包括体检工作概述、建设成效、问题短板、对策建议等内容。</w:t>
            </w:r>
          </w:p>
          <w:p>
            <w:pPr>
              <w:pStyle w:val="null3"/>
            </w:pPr>
            <w:r>
              <w:rPr>
                <w:rFonts w:ascii="仿宋_GB2312" w:hAnsi="仿宋_GB2312" w:cs="仿宋_GB2312" w:eastAsia="仿宋_GB2312"/>
              </w:rPr>
              <w:t>（2）图纸包括涉及体检指标要求的相关图纸。</w:t>
            </w:r>
          </w:p>
          <w:p>
            <w:pPr>
              <w:pStyle w:val="null3"/>
            </w:pPr>
            <w:r>
              <w:rPr>
                <w:rFonts w:ascii="仿宋_GB2312" w:hAnsi="仿宋_GB2312" w:cs="仿宋_GB2312" w:eastAsia="仿宋_GB2312"/>
              </w:rPr>
              <w:t>（3）附件包括指标分析报告、指标数据汇总表等内容。</w:t>
            </w:r>
          </w:p>
          <w:p>
            <w:pPr>
              <w:pStyle w:val="null3"/>
            </w:pPr>
            <w:r>
              <w:rPr>
                <w:rFonts w:ascii="仿宋_GB2312" w:hAnsi="仿宋_GB2312" w:cs="仿宋_GB2312" w:eastAsia="仿宋_GB2312"/>
              </w:rPr>
              <w:t>最终成果以纸质版与电子版两种形式提交，其中纸质报告应完整印制不少于六套。</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四、商务要求</w:t>
            </w:r>
          </w:p>
          <w:p>
            <w:pPr>
              <w:pStyle w:val="null3"/>
            </w:pPr>
            <w:r>
              <w:rPr>
                <w:rFonts w:ascii="仿宋_GB2312" w:hAnsi="仿宋_GB2312" w:cs="仿宋_GB2312" w:eastAsia="仿宋_GB2312"/>
              </w:rPr>
              <w:t>1.服务期限：</w:t>
            </w:r>
          </w:p>
          <w:p>
            <w:pPr>
              <w:pStyle w:val="null3"/>
            </w:pPr>
            <w:r>
              <w:rPr>
                <w:rFonts w:ascii="仿宋_GB2312" w:hAnsi="仿宋_GB2312" w:cs="仿宋_GB2312" w:eastAsia="仿宋_GB2312"/>
              </w:rPr>
              <w:t>自合同签订之日起120日历天内完成本项目。</w:t>
            </w:r>
          </w:p>
          <w:p>
            <w:pPr>
              <w:pStyle w:val="null3"/>
            </w:pPr>
            <w:r>
              <w:rPr>
                <w:rFonts w:ascii="仿宋_GB2312" w:hAnsi="仿宋_GB2312" w:cs="仿宋_GB2312" w:eastAsia="仿宋_GB2312"/>
              </w:rPr>
              <w:t>（1）30日历天内完成社会调查及数据收集；</w:t>
            </w:r>
          </w:p>
          <w:p>
            <w:pPr>
              <w:pStyle w:val="null3"/>
            </w:pPr>
            <w:r>
              <w:rPr>
                <w:rFonts w:ascii="仿宋_GB2312" w:hAnsi="仿宋_GB2312" w:cs="仿宋_GB2312" w:eastAsia="仿宋_GB2312"/>
              </w:rPr>
              <w:t>（2）60日历天完成数据分析形成初步报告；</w:t>
            </w:r>
          </w:p>
          <w:p>
            <w:pPr>
              <w:pStyle w:val="null3"/>
            </w:pPr>
            <w:r>
              <w:rPr>
                <w:rFonts w:ascii="仿宋_GB2312" w:hAnsi="仿宋_GB2312" w:cs="仿宋_GB2312" w:eastAsia="仿宋_GB2312"/>
              </w:rPr>
              <w:t>（3）30日历天内完成最终成果报告。</w:t>
            </w:r>
          </w:p>
          <w:p>
            <w:pPr>
              <w:pStyle w:val="null3"/>
            </w:pPr>
            <w:r>
              <w:rPr>
                <w:rFonts w:ascii="仿宋_GB2312" w:hAnsi="仿宋_GB2312" w:cs="仿宋_GB2312" w:eastAsia="仿宋_GB2312"/>
              </w:rPr>
              <w:t>2.服务地点：蒲城县内，采购人指定地点。</w:t>
            </w:r>
          </w:p>
          <w:p>
            <w:pPr>
              <w:pStyle w:val="null3"/>
            </w:pPr>
            <w:r>
              <w:rPr>
                <w:rFonts w:ascii="仿宋_GB2312" w:hAnsi="仿宋_GB2312" w:cs="仿宋_GB2312" w:eastAsia="仿宋_GB2312"/>
              </w:rPr>
              <w:t>3.质量要求：符合现行国家、行业“合格”标准。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蒲城县内，采购人指定地点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参照《财政部关于进一步加强政府采购需求和履约验收管理的指导意见》(财库(2016) 205号，经采购人组织验收。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提交初步成果后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成果通过专家验收会后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履行本合同引起的或与本合同有关的争议，甲、乙双方应首先通过友好协商解决;如果协商不能解决争议，甲乙双方可采取向甲方所在地仲裁委员会按其仲裁规则申请仲裁或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响应文件，同时，线下提交响应文件正本壹份、副本贰份、电子版壹份(U盘或光盘，标明供应商名称，随正本密封)。若电子响应文件与纸质响应文件不一致的，以电子响应文件为准。 线下递交文件截止时间：在开标时间截止之前；线下递交文件地点：陕西省西安市经济技术开发区凤城八路158号20幢1单元6楼609室。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三表一注”，即资产负债表、利润表、现金流量表及其附注，成立时间至提交响应文件截止时间不足一年的可提供成立后任意时段的资产负债表），或其基本存款账户开户银行出具的资信证明及基本存款账户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提供投标截止日前6个月内已缴纳的至少一个月的纳税证明或完税证明（增值税或印花税等税种），依法免税的单位应提供相关证明材料；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法定代表人证明书或授权委托书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非法定代表人参加投标，须提供法定代表人授权委托书及被授权人身份证原件；法定代表人参加投标时,须提供法人身份证明书及法定代表人身份证原件；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供应商名称应与营业执照等资料相一致</w:t>
            </w:r>
          </w:p>
        </w:tc>
        <w:tc>
          <w:tcPr>
            <w:tcW w:type="dxa" w:w="1661"/>
          </w:tcPr>
          <w:p>
            <w:pPr>
              <w:pStyle w:val="null3"/>
            </w:pPr>
            <w:r>
              <w:rPr>
                <w:rFonts w:ascii="仿宋_GB2312" w:hAnsi="仿宋_GB2312" w:cs="仿宋_GB2312" w:eastAsia="仿宋_GB2312"/>
              </w:rPr>
              <w:t>业绩.docx 服务内容及服务邀请应答表 中小企业声明函 商务应答表 保证金.docx 项目质量保障措施.docx 服务承诺.docx 项目进度安排、保证措施.docx 报价表 项目合理化建议.docx 供应商承诺书.docx 响应文件封面 项目所需人员配备.docx 残疾人福利性单位声明函 项目整体服务方案.docx 标的清单 项目理解.docx 供应商资格证明文件.docx 响应函 本地化服务.docx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按照磋商文件要求签字盖章</w:t>
            </w:r>
          </w:p>
        </w:tc>
        <w:tc>
          <w:tcPr>
            <w:tcW w:type="dxa" w:w="1661"/>
          </w:tcPr>
          <w:p>
            <w:pPr>
              <w:pStyle w:val="null3"/>
            </w:pPr>
            <w:r>
              <w:rPr>
                <w:rFonts w:ascii="仿宋_GB2312" w:hAnsi="仿宋_GB2312" w:cs="仿宋_GB2312" w:eastAsia="仿宋_GB2312"/>
              </w:rPr>
              <w:t>业绩.docx 服务内容及服务邀请应答表 中小企业声明函 商务应答表 保证金.docx 项目质量保障措施.docx 服务承诺.docx 项目进度安排、保证措施.docx 报价表 项目合理化建议.docx 供应商承诺书.docx 响应文件封面 项目所需人员配备.docx 残疾人福利性单位声明函 项目整体服务方案.docx 标的清单 项目理解.docx 供应商资格证明文件.docx 响应函 本地化服务.docx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服务期限、响应有效期等符合采购文件要求</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按照磋商文件要求缴纳</w:t>
            </w:r>
          </w:p>
        </w:tc>
        <w:tc>
          <w:tcPr>
            <w:tcW w:type="dxa" w:w="1661"/>
          </w:tcPr>
          <w:p>
            <w:pPr>
              <w:pStyle w:val="null3"/>
            </w:pPr>
            <w:r>
              <w:rPr>
                <w:rFonts w:ascii="仿宋_GB2312" w:hAnsi="仿宋_GB2312" w:cs="仿宋_GB2312" w:eastAsia="仿宋_GB2312"/>
              </w:rPr>
              <w:t>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报价唯一且未超过预算金额</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业绩.docx 服务内容及服务邀请应答表 中小企业声明函 商务应答表 保证金.docx 项目质量保障措施.docx 服务承诺.docx 项目进度安排、保证措施.docx 报价表 项目合理化建议.docx 供应商承诺书.docx 响应文件封面 项目所需人员配备.docx 残疾人福利性单位声明函 项目整体服务方案.docx 标的清单 项目理解.docx 供应商资格证明文件.docx 响应函 本地化服务.docx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项目整体服务方案</w:t>
            </w:r>
          </w:p>
        </w:tc>
        <w:tc>
          <w:tcPr>
            <w:tcW w:type="dxa" w:w="2492"/>
          </w:tcPr>
          <w:p>
            <w:pPr>
              <w:pStyle w:val="null3"/>
            </w:pPr>
            <w:r>
              <w:rPr>
                <w:rFonts w:ascii="仿宋_GB2312" w:hAnsi="仿宋_GB2312" w:cs="仿宋_GB2312" w:eastAsia="仿宋_GB2312"/>
              </w:rPr>
              <w:t>针对本项目提供的整体服务方案内容，包括但不限于：①服务思路②服务内容③服务方法④服务体系⑤服务响应机制⑥调研安排等；以上①-⑥项内容齐全且无缺陷的得12分，每有一项内容缺项的扣2分;每存在一项缺陷的扣1分，扣完为止。无此项描述的不得分。(“缺陷”是指以下任意一种情形：数据、名称、专业术语及符号、文字表述错误；或前后矛盾；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项目整体服务方案.docx</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针对本项目提供的对项目理解和热悉程度内容，包括但不限于:①本项目的基本情况和背景；②工作理解③工作思路；④针对本项目提出研究大纲框架。以上①-④项内容齐全且无缺陷的得12分，每有一项内容缺项的扣3分;每存在一项缺陷的扣1分，扣完为止。无此项描述的不得分。(“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项目理解.docx</w:t>
            </w:r>
          </w:p>
        </w:tc>
      </w:tr>
      <w:tr>
        <w:tc>
          <w:tcPr>
            <w:tcW w:type="dxa" w:w="831"/>
            <w:vMerge/>
          </w:tcPr>
          <w:p/>
        </w:tc>
        <w:tc>
          <w:tcPr>
            <w:tcW w:type="dxa" w:w="1661"/>
          </w:tcPr>
          <w:p>
            <w:pPr>
              <w:pStyle w:val="null3"/>
            </w:pPr>
            <w:r>
              <w:rPr>
                <w:rFonts w:ascii="仿宋_GB2312" w:hAnsi="仿宋_GB2312" w:cs="仿宋_GB2312" w:eastAsia="仿宋_GB2312"/>
              </w:rPr>
              <w:t>项目质量保障措施</w:t>
            </w:r>
          </w:p>
        </w:tc>
        <w:tc>
          <w:tcPr>
            <w:tcW w:type="dxa" w:w="2492"/>
          </w:tcPr>
          <w:p>
            <w:pPr>
              <w:pStyle w:val="null3"/>
            </w:pPr>
            <w:r>
              <w:rPr>
                <w:rFonts w:ascii="仿宋_GB2312" w:hAnsi="仿宋_GB2312" w:cs="仿宋_GB2312" w:eastAsia="仿宋_GB2312"/>
              </w:rPr>
              <w:t>针对本项目提供的质量保障措施内容，包括但不限于:①质量管理方案②质量管理机构及职责③质量保证措施④质量保障承诺;以上①-④项内容齐全且无缺陷的得8分，每有项内容缺项的扣2分;每存在一项缺陷的扣1分，扣完为止。无此项 描述的不得分。(“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项目质量保障措施.docx</w:t>
            </w:r>
          </w:p>
        </w:tc>
      </w:tr>
      <w:tr>
        <w:tc>
          <w:tcPr>
            <w:tcW w:type="dxa" w:w="831"/>
            <w:vMerge/>
          </w:tcPr>
          <w:p/>
        </w:tc>
        <w:tc>
          <w:tcPr>
            <w:tcW w:type="dxa" w:w="1661"/>
          </w:tcPr>
          <w:p>
            <w:pPr>
              <w:pStyle w:val="null3"/>
            </w:pPr>
            <w:r>
              <w:rPr>
                <w:rFonts w:ascii="仿宋_GB2312" w:hAnsi="仿宋_GB2312" w:cs="仿宋_GB2312" w:eastAsia="仿宋_GB2312"/>
              </w:rPr>
              <w:t>项目进度安排、保证措施</w:t>
            </w:r>
          </w:p>
        </w:tc>
        <w:tc>
          <w:tcPr>
            <w:tcW w:type="dxa" w:w="2492"/>
          </w:tcPr>
          <w:p>
            <w:pPr>
              <w:pStyle w:val="null3"/>
            </w:pPr>
            <w:r>
              <w:rPr>
                <w:rFonts w:ascii="仿宋_GB2312" w:hAnsi="仿宋_GB2312" w:cs="仿宋_GB2312" w:eastAsia="仿宋_GB2312"/>
              </w:rPr>
              <w:t>针对本项目提供的进度安排及保障措施内容，包括但不限于:①进度计划②工作部署③各阶段实施流程④进度保障措施；以上①-④项内容齐全且无缺陷的得8分，每有一项内容缺项的扣2分;每存在一项缺陷的扣1分，扣完为止。无此项描述的不得分。(“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项目进度安排、保证措施.docx</w:t>
            </w:r>
          </w:p>
        </w:tc>
      </w:tr>
      <w:tr>
        <w:tc>
          <w:tcPr>
            <w:tcW w:type="dxa" w:w="831"/>
            <w:vMerge/>
          </w:tcPr>
          <w:p/>
        </w:tc>
        <w:tc>
          <w:tcPr>
            <w:tcW w:type="dxa" w:w="1661"/>
          </w:tcPr>
          <w:p>
            <w:pPr>
              <w:pStyle w:val="null3"/>
            </w:pPr>
            <w:r>
              <w:rPr>
                <w:rFonts w:ascii="仿宋_GB2312" w:hAnsi="仿宋_GB2312" w:cs="仿宋_GB2312" w:eastAsia="仿宋_GB2312"/>
              </w:rPr>
              <w:t>项目合理化建议</w:t>
            </w:r>
          </w:p>
        </w:tc>
        <w:tc>
          <w:tcPr>
            <w:tcW w:type="dxa" w:w="2492"/>
          </w:tcPr>
          <w:p>
            <w:pPr>
              <w:pStyle w:val="null3"/>
            </w:pPr>
            <w:r>
              <w:rPr>
                <w:rFonts w:ascii="仿宋_GB2312" w:hAnsi="仿宋_GB2312" w:cs="仿宋_GB2312" w:eastAsia="仿宋_GB2312"/>
              </w:rPr>
              <w:t>供应商结合自身技术优势，充分考虑用户的需求发展，提出合理化建议，内容包括：①问题清单； ②围绕项目实际提出策略举措；③解决争议的措施；④合理化建议。 以上①-④项内容齐全且无缺陷的得8分，每有一项内容缺项的扣2分;每存在一项缺陷的扣1分，扣完为止。无此项描述的不得分。(“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项目合理化建议.docx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1、承诺：接受采购人对本项目服务的考核、监督及管理，定期调研采购人对服务质量的满意度并加以改进，确保服务工作的优质高效，得2分。无承诺不得分。 2、承诺：上岗人员固定，不随意更换，若出现服务人员因事、病等不能工作的，能及时调整其他服务人员补充，确保服务工作的正常进行，以及储备可调度人员，调度人员可保障临时性工作需要及突发事件处置，得2分。无承诺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项目负责人具有规划专业正高级职称且同时具备注册城乡（城市）规划师的得 8 分；具有副高级职称且同时具备注册城乡（城市）规划师的得 4 分；仅具有副高级或以上职称或注册城乡（城市）规划师其中一项的得 2 分；其余不得分，本项最多得 8 分。 注：提供项目人员职称证书复印件加盖公章、相关证书复印件加盖公章或中国城市规划协会官方网站截图为评分依据，无提供不得分。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项目所需人员配备.docx</w:t>
            </w:r>
          </w:p>
        </w:tc>
      </w:tr>
      <w:tr>
        <w:tc>
          <w:tcPr>
            <w:tcW w:type="dxa" w:w="831"/>
            <w:vMerge/>
          </w:tcPr>
          <w:p/>
        </w:tc>
        <w:tc>
          <w:tcPr>
            <w:tcW w:type="dxa" w:w="1661"/>
          </w:tcPr>
          <w:p>
            <w:pPr>
              <w:pStyle w:val="null3"/>
            </w:pPr>
            <w:r>
              <w:rPr>
                <w:rFonts w:ascii="仿宋_GB2312" w:hAnsi="仿宋_GB2312" w:cs="仿宋_GB2312" w:eastAsia="仿宋_GB2312"/>
              </w:rPr>
              <w:t>项目组成员情况</w:t>
            </w:r>
          </w:p>
        </w:tc>
        <w:tc>
          <w:tcPr>
            <w:tcW w:type="dxa" w:w="2492"/>
          </w:tcPr>
          <w:p>
            <w:pPr>
              <w:pStyle w:val="null3"/>
            </w:pPr>
            <w:r>
              <w:rPr>
                <w:rFonts w:ascii="仿宋_GB2312" w:hAnsi="仿宋_GB2312" w:cs="仿宋_GB2312" w:eastAsia="仿宋_GB2312"/>
              </w:rPr>
              <w:t>1、项目规划设计组成员（不含项目负责人）不少于 6 人，且同时具备注册城市规划师资格和城市规划类高级工程师及以上职称，每增加1 人得 1 分， 最多得 6 分。不响应不得分。 2、本项目规划设计组成员中，除规划专业外，同时具备建筑学、风景园林、 交通、旅游、市政、环境等相关专业的高级工程师（以职称证书为准）。每涵盖上述一个专业得 1 分，最高得 6分。 注：1、项目组成员不包含项目负责人。 2、提供项目人员职称证书复印件加盖公章、相关证书复印件加盖公章，无提供不得分。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项目所需人员配备.docx</w:t>
            </w:r>
          </w:p>
        </w:tc>
      </w:tr>
      <w:tr>
        <w:tc>
          <w:tcPr>
            <w:tcW w:type="dxa" w:w="831"/>
            <w:vMerge/>
          </w:tcPr>
          <w:p/>
        </w:tc>
        <w:tc>
          <w:tcPr>
            <w:tcW w:type="dxa" w:w="1661"/>
          </w:tcPr>
          <w:p>
            <w:pPr>
              <w:pStyle w:val="null3"/>
            </w:pPr>
            <w:r>
              <w:rPr>
                <w:rFonts w:ascii="仿宋_GB2312" w:hAnsi="仿宋_GB2312" w:cs="仿宋_GB2312" w:eastAsia="仿宋_GB2312"/>
              </w:rPr>
              <w:t>本地化服务</w:t>
            </w:r>
          </w:p>
        </w:tc>
        <w:tc>
          <w:tcPr>
            <w:tcW w:type="dxa" w:w="2492"/>
          </w:tcPr>
          <w:p>
            <w:pPr>
              <w:pStyle w:val="null3"/>
            </w:pPr>
            <w:r>
              <w:rPr>
                <w:rFonts w:ascii="仿宋_GB2312" w:hAnsi="仿宋_GB2312" w:cs="仿宋_GB2312" w:eastAsia="仿宋_GB2312"/>
              </w:rPr>
              <w:t>建立具有蒲城特色的指标体系并对指标进行分析，内容包括：①住宅；②小区（社区）；③街区；④城区。以上①-④项内容齐全且无缺陷的得8分，每有项内容缺项的扣2分;每存在一项缺陷的扣1分，扣完为止。无此项 描述的不得分。(“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本地化服务.docx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提供近三年（2022年1月至今）签署的类似项目业绩。每提供一项得2.5分（以加盖公章的中标通知书或合同复印件为准），满分10分。未提供不得分。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磋商文件要求且最后报价最低的供应商的价格为磋商基准价，其价格分为满分。其他供应商的价格分统一按照下列公式计算：磋商报价得分=10×（磋商基准价/最后磋商报价） 价格分计算：四舍五入，保留两位小数。 （因落实政府采购政策进行价格调整的，以调整后的价格计算评标基准价和报价）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详见附件：保证金.docx</w:t>
      </w:r>
    </w:p>
    <w:p>
      <w:pPr>
        <w:pStyle w:val="null3"/>
        <w:ind w:firstLine="960"/>
      </w:pPr>
      <w:r>
        <w:rPr>
          <w:rFonts w:ascii="仿宋_GB2312" w:hAnsi="仿宋_GB2312" w:cs="仿宋_GB2312" w:eastAsia="仿宋_GB2312"/>
        </w:rPr>
        <w:t>详见附件：项目整体服务方案.docx</w:t>
      </w:r>
    </w:p>
    <w:p>
      <w:pPr>
        <w:pStyle w:val="null3"/>
        <w:ind w:firstLine="960"/>
      </w:pPr>
      <w:r>
        <w:rPr>
          <w:rFonts w:ascii="仿宋_GB2312" w:hAnsi="仿宋_GB2312" w:cs="仿宋_GB2312" w:eastAsia="仿宋_GB2312"/>
        </w:rPr>
        <w:t>详见附件：项目理解.docx</w:t>
      </w:r>
    </w:p>
    <w:p>
      <w:pPr>
        <w:pStyle w:val="null3"/>
        <w:ind w:firstLine="960"/>
      </w:pPr>
      <w:r>
        <w:rPr>
          <w:rFonts w:ascii="仿宋_GB2312" w:hAnsi="仿宋_GB2312" w:cs="仿宋_GB2312" w:eastAsia="仿宋_GB2312"/>
        </w:rPr>
        <w:t>详见附件：项目质量保障措施.docx</w:t>
      </w:r>
    </w:p>
    <w:p>
      <w:pPr>
        <w:pStyle w:val="null3"/>
        <w:ind w:firstLine="960"/>
      </w:pPr>
      <w:r>
        <w:rPr>
          <w:rFonts w:ascii="仿宋_GB2312" w:hAnsi="仿宋_GB2312" w:cs="仿宋_GB2312" w:eastAsia="仿宋_GB2312"/>
        </w:rPr>
        <w:t>详见附件：项目进度安排、保证措施.docx</w:t>
      </w:r>
    </w:p>
    <w:p>
      <w:pPr>
        <w:pStyle w:val="null3"/>
        <w:ind w:firstLine="960"/>
      </w:pPr>
      <w:r>
        <w:rPr>
          <w:rFonts w:ascii="仿宋_GB2312" w:hAnsi="仿宋_GB2312" w:cs="仿宋_GB2312" w:eastAsia="仿宋_GB2312"/>
        </w:rPr>
        <w:t>详见附件：项目合理化建议.docx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详见附件：项目所需人员配备.docx</w:t>
      </w:r>
    </w:p>
    <w:p>
      <w:pPr>
        <w:pStyle w:val="null3"/>
        <w:ind w:firstLine="960"/>
      </w:pPr>
      <w:r>
        <w:rPr>
          <w:rFonts w:ascii="仿宋_GB2312" w:hAnsi="仿宋_GB2312" w:cs="仿宋_GB2312" w:eastAsia="仿宋_GB2312"/>
        </w:rPr>
        <w:t>详见附件：本地化服务.docx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