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版本号：SXHY-2025-05220251120001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蒲城县2025年林草有害生物防治项目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SXHY-2025-052</w:t>
      </w:r>
      <w:r>
        <w:br/>
      </w:r>
      <w:r>
        <w:br/>
      </w:r>
      <w:r>
        <w:br/>
      </w:r>
    </w:p>
    <w:p>
      <w:pPr>
        <w:pStyle w:val="null3"/>
        <w:jc w:val="center"/>
        <w:outlineLvl w:val="2"/>
      </w:pPr>
      <w:r>
        <w:rPr>
          <w:rFonts w:ascii="仿宋_GB2312" w:hAnsi="仿宋_GB2312" w:cs="仿宋_GB2312" w:eastAsia="仿宋_GB2312"/>
          <w:sz w:val="28"/>
          <w:b/>
        </w:rPr>
        <w:t>蒲城县林业局</w:t>
      </w:r>
    </w:p>
    <w:p>
      <w:pPr>
        <w:pStyle w:val="null3"/>
        <w:jc w:val="center"/>
        <w:outlineLvl w:val="2"/>
      </w:pPr>
      <w:r>
        <w:rPr>
          <w:rFonts w:ascii="仿宋_GB2312" w:hAnsi="仿宋_GB2312" w:cs="仿宋_GB2312" w:eastAsia="仿宋_GB2312"/>
          <w:sz w:val="28"/>
          <w:b/>
        </w:rPr>
        <w:t>陕西浩优项目管理有限公司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陕西浩优项目管理有限公司</w:t>
      </w:r>
      <w:r>
        <w:rPr>
          <w:rFonts w:ascii="仿宋_GB2312" w:hAnsi="仿宋_GB2312" w:cs="仿宋_GB2312" w:eastAsia="仿宋_GB2312"/>
        </w:rPr>
        <w:t>（以下简称“代理机构”）受</w:t>
      </w:r>
      <w:r>
        <w:rPr>
          <w:rFonts w:ascii="仿宋_GB2312" w:hAnsi="仿宋_GB2312" w:cs="仿宋_GB2312" w:eastAsia="仿宋_GB2312"/>
        </w:rPr>
        <w:t>蒲城县林业局</w:t>
      </w:r>
      <w:r>
        <w:rPr>
          <w:rFonts w:ascii="仿宋_GB2312" w:hAnsi="仿宋_GB2312" w:cs="仿宋_GB2312" w:eastAsia="仿宋_GB2312"/>
        </w:rPr>
        <w:t>委托，拟对</w:t>
      </w:r>
      <w:r>
        <w:rPr>
          <w:rFonts w:ascii="仿宋_GB2312" w:hAnsi="仿宋_GB2312" w:cs="仿宋_GB2312" w:eastAsia="仿宋_GB2312"/>
        </w:rPr>
        <w:t>蒲城县2025年林草有害生物防治项目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SXHY-2025-052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蒲城县2025年林草有害生物防治项目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1、松材线虫病防控：采取无人机喷洒化学药剂、生物制剂、释放天敌等方式进行松材线虫防控，防治面积11364亩。 2、松树钻蛀类害虫监测调查：组织调查员、基层巡护员对全县110个松林小班，约2.2万亩松林开展松树钻蛀类害虫监测调查工作。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采购包1（蒲城县2025年林草有害生物防治项目）：属于专门面向中小企业采购。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2、法定代表人身份证明书或法定代表人授权委托书：法定代表人授权委托书（附法定代表人、被授权人身份证复印件），法定代表人直接参加磋商，须提供法定代表人身份证明；</w:t>
      </w:r>
    </w:p>
    <w:p>
      <w:pPr>
        <w:pStyle w:val="null3"/>
      </w:pPr>
      <w:r>
        <w:rPr>
          <w:rFonts w:ascii="仿宋_GB2312" w:hAnsi="仿宋_GB2312" w:cs="仿宋_GB2312" w:eastAsia="仿宋_GB2312"/>
        </w:rPr>
        <w:t>3、财务状况报告：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w:t>
      </w:r>
    </w:p>
    <w:p>
      <w:pPr>
        <w:pStyle w:val="null3"/>
      </w:pPr>
      <w:r>
        <w:rPr>
          <w:rFonts w:ascii="仿宋_GB2312" w:hAnsi="仿宋_GB2312" w:cs="仿宋_GB2312" w:eastAsia="仿宋_GB2312"/>
        </w:rPr>
        <w:t>4、税收缴纳证明：提供投标截止日近半年内任意一月的纳税证明或完税证明（任意税种），依法免税的单位应提供相关证明材料；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5、社会保障资金缴纳证明：提供投标截止日近半年内任意一月的社会保障资金缴存单据或社保机构开具的社会保险参保缴费情况证明，依法不需要缴纳社会保障资金的单位应提供相关证明材料；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6、设备和专业技术能力提供声明：提供具有履行合同所必需的设备和专业技术能力的承诺；</w:t>
      </w:r>
    </w:p>
    <w:p>
      <w:pPr>
        <w:pStyle w:val="null3"/>
      </w:pPr>
      <w:r>
        <w:rPr>
          <w:rFonts w:ascii="仿宋_GB2312" w:hAnsi="仿宋_GB2312" w:cs="仿宋_GB2312" w:eastAsia="仿宋_GB2312"/>
        </w:rPr>
        <w:t>7、无重大违法记录声明：参加政府采购活动前三年内，在经营活动中没有重大违法记录的书面声明；</w:t>
      </w:r>
    </w:p>
    <w:p>
      <w:pPr>
        <w:pStyle w:val="null3"/>
      </w:pPr>
      <w:r>
        <w:rPr>
          <w:rFonts w:ascii="仿宋_GB2312" w:hAnsi="仿宋_GB2312" w:cs="仿宋_GB2312" w:eastAsia="仿宋_GB2312"/>
        </w:rPr>
        <w:t>8、信誉截图：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9、不接受联合体：本项目不接受联合体磋商。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蒲城县迎宾路南段广电大楼三楼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0913-7212295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陕西浩优项目管理有限公司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陕西省西安市曲江新区商通大道6号智慧大厦一幢203室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李金娥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029-89553153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开户名称：陕西浩优项目管理有限公司</w:t>
            </w:r>
          </w:p>
          <w:p>
            <w:pPr>
              <w:pStyle w:val="null3"/>
            </w:pPr>
            <w:r>
              <w:rPr>
                <w:rFonts w:ascii="仿宋_GB2312" w:hAnsi="仿宋_GB2312" w:cs="仿宋_GB2312" w:eastAsia="仿宋_GB2312"/>
              </w:rPr>
              <w:t>开户银行：中国建设银行股份有限公司西安曲江支行</w:t>
            </w:r>
          </w:p>
          <w:p>
            <w:pPr>
              <w:pStyle w:val="null3"/>
            </w:pPr>
            <w:r>
              <w:rPr>
                <w:rFonts w:ascii="仿宋_GB2312" w:hAnsi="仿宋_GB2312" w:cs="仿宋_GB2312" w:eastAsia="仿宋_GB2312"/>
              </w:rPr>
              <w:t>银行账号：6105 0191 0004 0000 4479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收取。2.采购代理服务费收取：户名：陕西浩优项目管理有限公司 开户银行：中国建设银行股份有限公司西安曲江支行 账号：6105 0191 0004 000 0 4479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蒲城县林业局</w:t>
      </w:r>
      <w:r>
        <w:rPr>
          <w:rFonts w:ascii="仿宋_GB2312" w:hAnsi="仿宋_GB2312" w:cs="仿宋_GB2312" w:eastAsia="仿宋_GB2312"/>
        </w:rPr>
        <w:t>和</w:t>
      </w:r>
      <w:r>
        <w:rPr>
          <w:rFonts w:ascii="仿宋_GB2312" w:hAnsi="仿宋_GB2312" w:cs="仿宋_GB2312" w:eastAsia="仿宋_GB2312"/>
        </w:rPr>
        <w:t>陕西浩优项目管理有限公司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陕西浩优项目管理有限公司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陕西浩优项目管理有限公司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联系人：李金娥</w:t>
      </w:r>
    </w:p>
    <w:p>
      <w:pPr>
        <w:pStyle w:val="null3"/>
      </w:pPr>
      <w:r>
        <w:rPr>
          <w:rFonts w:ascii="仿宋_GB2312" w:hAnsi="仿宋_GB2312" w:cs="仿宋_GB2312" w:eastAsia="仿宋_GB2312"/>
        </w:rPr>
        <w:t>联系电话：029-89553153</w:t>
      </w:r>
    </w:p>
    <w:p>
      <w:pPr>
        <w:pStyle w:val="null3"/>
      </w:pPr>
      <w:r>
        <w:rPr>
          <w:rFonts w:ascii="仿宋_GB2312" w:hAnsi="仿宋_GB2312" w:cs="仿宋_GB2312" w:eastAsia="仿宋_GB2312"/>
        </w:rPr>
        <w:t>地址：陕西省西安市曲江新区商通大道6号智慧大厦一幢203室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1、松材线虫病防控：采取无人机喷洒化学药剂、生物制剂、释放天敌等方式进行松材线虫防控，防治面积11364亩。 2、松树钻蛀类害虫监测调查：组织调查员、基层巡护员对全县110个松林小班，约2.2万亩松林开展松树钻蛀类害虫监测调查工作。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林草有害生物防治项目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标的名称：林草有害生物防治项目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项目</w:t>
            </w:r>
            <w:r>
              <w:rPr>
                <w:rFonts w:ascii="仿宋_GB2312" w:hAnsi="仿宋_GB2312" w:cs="仿宋_GB2312" w:eastAsia="仿宋_GB2312"/>
                <w:sz w:val="28"/>
                <w:b/>
              </w:rPr>
              <w:t>名称</w:t>
            </w:r>
            <w:r>
              <w:rPr>
                <w:rFonts w:ascii="仿宋_GB2312" w:hAnsi="仿宋_GB2312" w:cs="仿宋_GB2312" w:eastAsia="仿宋_GB2312"/>
                <w:sz w:val="28"/>
                <w:b/>
              </w:rPr>
              <w:t>：</w:t>
            </w:r>
            <w:r>
              <w:rPr>
                <w:rFonts w:ascii="仿宋_GB2312" w:hAnsi="仿宋_GB2312" w:cs="仿宋_GB2312" w:eastAsia="仿宋_GB2312"/>
                <w:sz w:val="28"/>
              </w:rPr>
              <w:t>蒲城县</w:t>
            </w:r>
            <w:r>
              <w:rPr>
                <w:rFonts w:ascii="仿宋_GB2312" w:hAnsi="仿宋_GB2312" w:cs="仿宋_GB2312" w:eastAsia="仿宋_GB2312"/>
                <w:sz w:val="28"/>
              </w:rPr>
              <w:t>2025年林草有害生物防治项目</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项目建设地点</w:t>
            </w:r>
            <w:r>
              <w:rPr>
                <w:rFonts w:ascii="仿宋_GB2312" w:hAnsi="仿宋_GB2312" w:cs="仿宋_GB2312" w:eastAsia="仿宋_GB2312"/>
                <w:sz w:val="28"/>
                <w:b/>
              </w:rPr>
              <w:t>：</w:t>
            </w:r>
            <w:r>
              <w:rPr>
                <w:rFonts w:ascii="仿宋_GB2312" w:hAnsi="仿宋_GB2312" w:cs="仿宋_GB2312" w:eastAsia="仿宋_GB2312"/>
                <w:sz w:val="28"/>
              </w:rPr>
              <w:t>涉及高阳镇、城关镇、桥陵镇、椿林镇、陈庄镇、尧山林场等。</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采购内容及规模</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松材线虫病防控</w:t>
            </w:r>
          </w:p>
          <w:p>
            <w:pPr>
              <w:pStyle w:val="null3"/>
              <w:jc w:val="both"/>
            </w:pPr>
            <w:r>
              <w:rPr>
                <w:rFonts w:ascii="仿宋_GB2312" w:hAnsi="仿宋_GB2312" w:cs="仿宋_GB2312" w:eastAsia="仿宋_GB2312"/>
                <w:sz w:val="28"/>
              </w:rPr>
              <w:t>采取无人机喷洒化学药剂、生物制剂、释放天敌等方式进行松材线虫防控，防治面积</w:t>
            </w:r>
            <w:r>
              <w:rPr>
                <w:rFonts w:ascii="仿宋_GB2312" w:hAnsi="仿宋_GB2312" w:cs="仿宋_GB2312" w:eastAsia="仿宋_GB2312"/>
                <w:sz w:val="28"/>
              </w:rPr>
              <w:t>11364亩。</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松树钻</w:t>
            </w:r>
            <w:r>
              <w:rPr>
                <w:rFonts w:ascii="仿宋_GB2312" w:hAnsi="仿宋_GB2312" w:cs="仿宋_GB2312" w:eastAsia="仿宋_GB2312"/>
                <w:sz w:val="28"/>
                <w:color w:val="000000"/>
              </w:rPr>
              <w:t>蛀</w:t>
            </w:r>
            <w:r>
              <w:rPr>
                <w:rFonts w:ascii="仿宋_GB2312" w:hAnsi="仿宋_GB2312" w:cs="仿宋_GB2312" w:eastAsia="仿宋_GB2312"/>
                <w:sz w:val="28"/>
              </w:rPr>
              <w:t>类害虫监测调查</w:t>
            </w:r>
          </w:p>
          <w:p>
            <w:pPr>
              <w:pStyle w:val="null3"/>
              <w:jc w:val="both"/>
            </w:pPr>
            <w:r>
              <w:rPr>
                <w:rFonts w:ascii="仿宋_GB2312" w:hAnsi="仿宋_GB2312" w:cs="仿宋_GB2312" w:eastAsia="仿宋_GB2312"/>
                <w:sz w:val="28"/>
              </w:rPr>
              <w:t>组织调查员、基层巡护员对全县</w:t>
            </w:r>
            <w:r>
              <w:rPr>
                <w:rFonts w:ascii="仿宋_GB2312" w:hAnsi="仿宋_GB2312" w:cs="仿宋_GB2312" w:eastAsia="仿宋_GB2312"/>
                <w:sz w:val="28"/>
              </w:rPr>
              <w:t>110个松林小班，约2.2万亩松林开展松树钻蛀类害虫监测调查工作。</w:t>
            </w:r>
          </w:p>
          <w:tbl>
            <w:tblPr>
              <w:tblInd w:type="dxa" w:w="120"/>
              <w:tblBorders>
                <w:top w:val="none" w:color="000000" w:sz="4"/>
                <w:left w:val="none" w:color="000000" w:sz="4"/>
                <w:bottom w:val="none" w:color="000000" w:sz="4"/>
                <w:right w:val="none" w:color="000000" w:sz="4"/>
                <w:insideH w:val="none"/>
                <w:insideV w:val="none"/>
              </w:tblBorders>
            </w:tblPr>
            <w:tblGrid>
              <w:gridCol w:w="391"/>
              <w:gridCol w:w="1959"/>
              <w:gridCol w:w="299"/>
              <w:gridCol w:w="524"/>
            </w:tblGrid>
            <w:tr>
              <w:tc>
                <w:tcPr>
                  <w:tcW w:type="dxa" w:w="3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19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建设内容</w:t>
                  </w:r>
                </w:p>
              </w:tc>
              <w:tc>
                <w:tcPr>
                  <w:tcW w:type="dxa" w:w="2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单位</w:t>
                  </w:r>
                </w:p>
              </w:tc>
              <w:tc>
                <w:tcPr>
                  <w:tcW w:type="dxa" w:w="5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r>
            <w:tr>
              <w:tc>
                <w:tcPr>
                  <w:tcW w:type="dxa" w:w="391"/>
                  <w:vMerge/>
                  <w:tcBorders>
                    <w:top w:val="single" w:color="000000" w:sz="4"/>
                    <w:left w:val="single" w:color="000000" w:sz="4"/>
                    <w:bottom w:val="single" w:color="000000" w:sz="4"/>
                    <w:right w:val="single" w:color="000000" w:sz="4"/>
                  </w:tcBorders>
                </w:tcPr>
                <w:p/>
              </w:tc>
              <w:tc>
                <w:tcPr>
                  <w:tcW w:type="dxa" w:w="1959"/>
                  <w:vMerge/>
                  <w:tcBorders>
                    <w:top w:val="single" w:color="000000" w:sz="4"/>
                    <w:left w:val="none" w:color="000000" w:sz="4"/>
                    <w:bottom w:val="single" w:color="000000" w:sz="4"/>
                    <w:right w:val="single" w:color="000000" w:sz="4"/>
                  </w:tcBorders>
                </w:tcPr>
                <w:p/>
              </w:tc>
              <w:tc>
                <w:tcPr>
                  <w:tcW w:type="dxa" w:w="299"/>
                  <w:vMerge/>
                  <w:tcBorders>
                    <w:top w:val="single" w:color="000000" w:sz="4"/>
                    <w:left w:val="none" w:color="000000" w:sz="4"/>
                    <w:bottom w:val="single" w:color="000000" w:sz="4"/>
                    <w:right w:val="single" w:color="000000" w:sz="4"/>
                  </w:tcBorders>
                </w:tcPr>
                <w:p/>
              </w:tc>
              <w:tc>
                <w:tcPr>
                  <w:tcW w:type="dxa" w:w="524"/>
                  <w:vMerge/>
                  <w:tcBorders>
                    <w:top w:val="single" w:color="000000" w:sz="4"/>
                    <w:left w:val="none" w:color="000000" w:sz="4"/>
                    <w:bottom w:val="single" w:color="000000" w:sz="4"/>
                    <w:right w:val="single" w:color="000000" w:sz="4"/>
                  </w:tcBorders>
                </w:tc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飞机喷药防控</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亩</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11364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无人机飞行费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亩</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11364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噻虫啉微囊悬浮剂</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千克</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1227</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青皮桔油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千克</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1.4</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球孢白僵菌</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千克</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现场施工费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工日</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19</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2</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释放花绒寄甲</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头</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45000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3</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松树钻蛀害虫</w:t>
                  </w:r>
                  <w:r>
                    <w:rPr>
                      <w:rFonts w:ascii="仿宋_GB2312" w:hAnsi="仿宋_GB2312" w:cs="仿宋_GB2312" w:eastAsia="仿宋_GB2312"/>
                      <w:sz w:val="28"/>
                      <w:b/>
                      <w:color w:val="000000"/>
                    </w:rPr>
                    <w:t>监测</w:t>
                  </w:r>
                  <w:r>
                    <w:rPr>
                      <w:rFonts w:ascii="仿宋_GB2312" w:hAnsi="仿宋_GB2312" w:cs="仿宋_GB2312" w:eastAsia="仿宋_GB2312"/>
                      <w:sz w:val="28"/>
                      <w:b/>
                      <w:color w:val="000000"/>
                    </w:rPr>
                    <w:t>调</w:t>
                  </w:r>
                  <w:r>
                    <w:rPr>
                      <w:rFonts w:ascii="仿宋_GB2312" w:hAnsi="仿宋_GB2312" w:cs="仿宋_GB2312" w:eastAsia="仿宋_GB2312"/>
                      <w:sz w:val="28"/>
                      <w:b/>
                      <w:color w:val="000000"/>
                    </w:rPr>
                    <w:t>查</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3.1</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诱捕器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r>
                    <w:rPr>
                      <w:rFonts w:ascii="仿宋_GB2312" w:hAnsi="仿宋_GB2312" w:cs="仿宋_GB2312" w:eastAsia="仿宋_GB2312"/>
                      <w:sz w:val="28"/>
                      <w:color w:val="000000"/>
                    </w:rPr>
                    <w:t>2</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2.2万亩松树钻蛀害虫调查</w:t>
                  </w:r>
                </w:p>
                <w:p>
                  <w:pPr>
                    <w:pStyle w:val="null3"/>
                    <w:jc w:val="center"/>
                  </w:pPr>
                  <w:r>
                    <w:rPr>
                      <w:rFonts w:ascii="仿宋_GB2312" w:hAnsi="仿宋_GB2312" w:cs="仿宋_GB2312" w:eastAsia="仿宋_GB2312"/>
                      <w:sz w:val="28"/>
                      <w:color w:val="000000"/>
                    </w:rPr>
                    <w:t>（含调查、采集、制作昆虫影像、标本库、成果报告等）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r>
                    <w:rPr>
                      <w:rFonts w:ascii="仿宋_GB2312" w:hAnsi="仿宋_GB2312" w:cs="仿宋_GB2312" w:eastAsia="仿宋_GB2312"/>
                      <w:sz w:val="28"/>
                      <w:color w:val="000000"/>
                    </w:rPr>
                    <w:t>3</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测报工具箱</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bl>
          <w:p>
            <w:pPr>
              <w:pStyle w:val="null3"/>
              <w:jc w:val="left"/>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期限</w:t>
            </w:r>
            <w:r>
              <w:rPr>
                <w:rFonts w:ascii="仿宋_GB2312" w:hAnsi="仿宋_GB2312" w:cs="仿宋_GB2312" w:eastAsia="仿宋_GB2312"/>
                <w:sz w:val="28"/>
                <w:b/>
                <w:color w:val="000000"/>
              </w:rPr>
              <w:t>：自合同签订之日起至</w:t>
            </w:r>
            <w:r>
              <w:rPr>
                <w:rFonts w:ascii="仿宋_GB2312" w:hAnsi="仿宋_GB2312" w:cs="仿宋_GB2312" w:eastAsia="仿宋_GB2312"/>
                <w:sz w:val="28"/>
                <w:b/>
                <w:color w:val="000000"/>
              </w:rPr>
              <w:t>202</w:t>
            </w:r>
            <w:r>
              <w:rPr>
                <w:rFonts w:ascii="仿宋_GB2312" w:hAnsi="仿宋_GB2312" w:cs="仿宋_GB2312" w:eastAsia="仿宋_GB2312"/>
                <w:sz w:val="28"/>
                <w:b/>
                <w:color w:val="000000"/>
              </w:rPr>
              <w:t>6</w:t>
            </w:r>
            <w:r>
              <w:rPr>
                <w:rFonts w:ascii="仿宋_GB2312" w:hAnsi="仿宋_GB2312" w:cs="仿宋_GB2312" w:eastAsia="仿宋_GB2312"/>
                <w:sz w:val="28"/>
                <w:b/>
                <w:color w:val="000000"/>
              </w:rPr>
              <w:t>年</w:t>
            </w:r>
            <w:r>
              <w:rPr>
                <w:rFonts w:ascii="仿宋_GB2312" w:hAnsi="仿宋_GB2312" w:cs="仿宋_GB2312" w:eastAsia="仿宋_GB2312"/>
                <w:sz w:val="28"/>
                <w:b/>
                <w:color w:val="000000"/>
              </w:rPr>
              <w:t>9</w:t>
            </w:r>
            <w:r>
              <w:rPr>
                <w:rFonts w:ascii="仿宋_GB2312" w:hAnsi="仿宋_GB2312" w:cs="仿宋_GB2312" w:eastAsia="仿宋_GB2312"/>
                <w:sz w:val="28"/>
                <w:b/>
                <w:color w:val="000000"/>
              </w:rPr>
              <w:t>月</w:t>
            </w:r>
            <w:r>
              <w:rPr>
                <w:rFonts w:ascii="仿宋_GB2312" w:hAnsi="仿宋_GB2312" w:cs="仿宋_GB2312" w:eastAsia="仿宋_GB2312"/>
                <w:sz w:val="28"/>
                <w:b/>
                <w:color w:val="000000"/>
              </w:rPr>
              <w:t>30</w:t>
            </w:r>
            <w:r>
              <w:rPr>
                <w:rFonts w:ascii="仿宋_GB2312" w:hAnsi="仿宋_GB2312" w:cs="仿宋_GB2312" w:eastAsia="仿宋_GB2312"/>
                <w:sz w:val="28"/>
                <w:b/>
                <w:color w:val="000000"/>
              </w:rPr>
              <w:t>日。</w:t>
            </w:r>
          </w:p>
          <w:p>
            <w:pPr>
              <w:pStyle w:val="null3"/>
              <w:jc w:val="both"/>
            </w:pPr>
            <w:r>
              <w:rPr>
                <w:rFonts w:ascii="仿宋_GB2312" w:hAnsi="仿宋_GB2312" w:cs="仿宋_GB2312" w:eastAsia="仿宋_GB2312"/>
                <w:sz w:val="28"/>
                <w:b/>
                <w:color w:val="000000"/>
              </w:rPr>
              <w:t>5、</w:t>
            </w:r>
            <w:r>
              <w:rPr>
                <w:rFonts w:ascii="仿宋_GB2312" w:hAnsi="仿宋_GB2312" w:cs="仿宋_GB2312" w:eastAsia="仿宋_GB2312"/>
                <w:sz w:val="28"/>
                <w:b/>
                <w:color w:val="000000"/>
              </w:rPr>
              <w:t>服务质量、标准等要求</w:t>
            </w:r>
            <w:r>
              <w:rPr>
                <w:rFonts w:ascii="仿宋_GB2312" w:hAnsi="仿宋_GB2312" w:cs="仿宋_GB2312" w:eastAsia="仿宋_GB2312"/>
                <w:sz w:val="28"/>
                <w:b/>
                <w:color w:val="000000"/>
              </w:rPr>
              <w:t>：</w:t>
            </w:r>
            <w:r>
              <w:rPr>
                <w:rFonts w:ascii="仿宋_GB2312" w:hAnsi="仿宋_GB2312" w:cs="仿宋_GB2312" w:eastAsia="仿宋_GB2312"/>
                <w:sz w:val="28"/>
                <w:color w:val="000000"/>
              </w:rPr>
              <w:t>供应商</w:t>
            </w:r>
            <w:r>
              <w:rPr>
                <w:rFonts w:ascii="仿宋_GB2312" w:hAnsi="仿宋_GB2312" w:cs="仿宋_GB2312" w:eastAsia="仿宋_GB2312"/>
                <w:sz w:val="28"/>
              </w:rPr>
              <w:t>必须严格按照有关技术标准，依照有关规定，对建设内容定期进行检查。供应商负责项目管理进程中的一切安全责任，其中包括万一发生的一切工伤事故及工作人员的作业或非作业性的人身安全等责任。供应商必须按时发</w:t>
            </w:r>
            <w:r>
              <w:rPr>
                <w:rFonts w:ascii="仿宋_GB2312" w:hAnsi="仿宋_GB2312" w:cs="仿宋_GB2312" w:eastAsia="仿宋_GB2312"/>
                <w:sz w:val="28"/>
              </w:rPr>
              <w:t>放</w:t>
            </w:r>
            <w:r>
              <w:rPr>
                <w:rFonts w:ascii="仿宋_GB2312" w:hAnsi="仿宋_GB2312" w:cs="仿宋_GB2312" w:eastAsia="仿宋_GB2312"/>
                <w:sz w:val="28"/>
              </w:rPr>
              <w:t>工资，聘用人员工资待遇不能低于当地政府的最低工资待遇标准（社会保险和意外保险另算），任何劳资纠纷全由供应商负责。供应商必须按</w:t>
            </w:r>
            <w:r>
              <w:rPr>
                <w:rFonts w:ascii="仿宋_GB2312" w:hAnsi="仿宋_GB2312" w:cs="仿宋_GB2312" w:eastAsia="仿宋_GB2312"/>
                <w:sz w:val="28"/>
              </w:rPr>
              <w:t>法律、法规</w:t>
            </w:r>
            <w:r>
              <w:rPr>
                <w:rFonts w:ascii="仿宋_GB2312" w:hAnsi="仿宋_GB2312" w:cs="仿宋_GB2312" w:eastAsia="仿宋_GB2312"/>
                <w:sz w:val="28"/>
              </w:rPr>
              <w:t>及有关政策规定为其服务人员购买相关保险。</w:t>
            </w:r>
          </w:p>
          <w:p>
            <w:pPr>
              <w:pStyle w:val="null3"/>
              <w:ind w:firstLine="560"/>
              <w:jc w:val="both"/>
            </w:pPr>
            <w:r>
              <w:rPr>
                <w:rFonts w:ascii="仿宋_GB2312" w:hAnsi="仿宋_GB2312" w:cs="仿宋_GB2312" w:eastAsia="仿宋_GB2312"/>
                <w:sz w:val="28"/>
              </w:rPr>
              <w:t>供应商必须落实好安全生产的措施和配置安全作业的劳保用品。供应商的服务人员数量必须满足采购人的实际工作要求，且穿着统一标识的工作服。供应商所有与本项目有关的技术标准均应不低于已颁布的国家和行业标准，或相应的国际标准的有关条文。使用最新的专利和保密专利需特别说明。</w:t>
            </w:r>
          </w:p>
          <w:p>
            <w:pPr>
              <w:pStyle w:val="null3"/>
              <w:jc w:val="both"/>
            </w:pPr>
            <w:r>
              <w:rPr>
                <w:rFonts w:ascii="仿宋_GB2312" w:hAnsi="仿宋_GB2312" w:cs="仿宋_GB2312" w:eastAsia="仿宋_GB2312"/>
                <w:sz w:val="28"/>
                <w:b/>
              </w:rPr>
              <w:t>6、</w:t>
            </w:r>
            <w:r>
              <w:rPr>
                <w:rFonts w:ascii="仿宋_GB2312" w:hAnsi="仿宋_GB2312" w:cs="仿宋_GB2312" w:eastAsia="仿宋_GB2312"/>
                <w:sz w:val="28"/>
                <w:b/>
              </w:rPr>
              <w:t>项目要求</w:t>
            </w:r>
            <w:r>
              <w:rPr>
                <w:rFonts w:ascii="仿宋_GB2312" w:hAnsi="仿宋_GB2312" w:cs="仿宋_GB2312" w:eastAsia="仿宋_GB2312"/>
                <w:sz w:val="28"/>
                <w:b/>
              </w:rPr>
              <w:t>：</w:t>
            </w:r>
            <w:r>
              <w:rPr>
                <w:rFonts w:ascii="仿宋_GB2312" w:hAnsi="仿宋_GB2312" w:cs="仿宋_GB2312" w:eastAsia="仿宋_GB2312"/>
                <w:sz w:val="28"/>
              </w:rPr>
              <w:t>病虫害成灾</w:t>
            </w:r>
            <w:r>
              <w:rPr>
                <w:rFonts w:ascii="仿宋_GB2312" w:hAnsi="仿宋_GB2312" w:cs="仿宋_GB2312" w:eastAsia="仿宋_GB2312"/>
                <w:sz w:val="28"/>
              </w:rPr>
              <w:t>率控制在</w:t>
            </w:r>
            <w:r>
              <w:rPr>
                <w:rFonts w:ascii="仿宋_GB2312" w:hAnsi="仿宋_GB2312" w:cs="仿宋_GB2312" w:eastAsia="仿宋_GB2312"/>
                <w:sz w:val="28"/>
              </w:rPr>
              <w:t>3.6‰</w:t>
            </w:r>
            <w:r>
              <w:rPr>
                <w:rFonts w:ascii="仿宋_GB2312" w:hAnsi="仿宋_GB2312" w:cs="仿宋_GB2312" w:eastAsia="仿宋_GB2312"/>
                <w:sz w:val="28"/>
              </w:rPr>
              <w:t>以下、</w:t>
            </w:r>
            <w:r>
              <w:rPr>
                <w:rFonts w:ascii="仿宋_GB2312" w:hAnsi="仿宋_GB2312" w:cs="仿宋_GB2312" w:eastAsia="仿宋_GB2312"/>
                <w:sz w:val="28"/>
              </w:rPr>
              <w:t>病</w:t>
            </w:r>
            <w:r>
              <w:rPr>
                <w:rFonts w:ascii="仿宋_GB2312" w:hAnsi="仿宋_GB2312" w:cs="仿宋_GB2312" w:eastAsia="仿宋_GB2312"/>
                <w:sz w:val="28"/>
              </w:rPr>
              <w:t>害虫防治效果达</w:t>
            </w:r>
            <w:r>
              <w:rPr>
                <w:rFonts w:ascii="仿宋_GB2312" w:hAnsi="仿宋_GB2312" w:cs="仿宋_GB2312" w:eastAsia="仿宋_GB2312"/>
                <w:sz w:val="28"/>
              </w:rPr>
              <w:t>87</w:t>
            </w:r>
            <w:r>
              <w:rPr>
                <w:rFonts w:ascii="仿宋_GB2312" w:hAnsi="仿宋_GB2312" w:cs="仿宋_GB2312" w:eastAsia="仿宋_GB2312"/>
                <w:sz w:val="28"/>
              </w:rPr>
              <w:t>%以上。</w:t>
            </w:r>
          </w:p>
          <w:p>
            <w:pPr>
              <w:pStyle w:val="null3"/>
              <w:jc w:val="both"/>
            </w:pPr>
            <w:r>
              <w:rPr>
                <w:rFonts w:ascii="仿宋_GB2312" w:hAnsi="仿宋_GB2312" w:cs="仿宋_GB2312" w:eastAsia="仿宋_GB2312"/>
                <w:sz w:val="28"/>
                <w:b/>
              </w:rPr>
              <w:t>7、</w:t>
            </w:r>
            <w:r>
              <w:rPr>
                <w:rFonts w:ascii="仿宋_GB2312" w:hAnsi="仿宋_GB2312" w:cs="仿宋_GB2312" w:eastAsia="仿宋_GB2312"/>
                <w:sz w:val="28"/>
                <w:b/>
              </w:rPr>
              <w:t>付款方式</w:t>
            </w:r>
            <w:r>
              <w:rPr>
                <w:rFonts w:ascii="仿宋_GB2312" w:hAnsi="仿宋_GB2312" w:cs="仿宋_GB2312" w:eastAsia="仿宋_GB2312"/>
                <w:sz w:val="28"/>
                <w:b/>
              </w:rPr>
              <w:t>：</w:t>
            </w:r>
            <w:r>
              <w:rPr>
                <w:rFonts w:ascii="仿宋_GB2312" w:hAnsi="仿宋_GB2312" w:cs="仿宋_GB2312" w:eastAsia="仿宋_GB2312"/>
                <w:sz w:val="28"/>
              </w:rPr>
              <w:t>项目开工后预付合同款的</w:t>
            </w:r>
            <w:r>
              <w:rPr>
                <w:rFonts w:ascii="仿宋_GB2312" w:hAnsi="仿宋_GB2312" w:cs="仿宋_GB2312" w:eastAsia="仿宋_GB2312"/>
                <w:sz w:val="28"/>
              </w:rPr>
              <w:t>30%，项目完工经验收合格后，支付至合同款的70%</w:t>
            </w:r>
            <w:r>
              <w:rPr>
                <w:rFonts w:ascii="仿宋_GB2312" w:hAnsi="仿宋_GB2312" w:cs="仿宋_GB2312" w:eastAsia="仿宋_GB2312"/>
                <w:sz w:val="28"/>
              </w:rPr>
              <w:t>，成效验收合格，并经审计验收结束，支付剩余工程款。</w:t>
            </w:r>
          </w:p>
          <w:p>
            <w:pPr>
              <w:pStyle w:val="null3"/>
              <w:jc w:val="left"/>
            </w:pPr>
            <w:r>
              <w:rPr>
                <w:rFonts w:ascii="仿宋_GB2312" w:hAnsi="仿宋_GB2312" w:cs="仿宋_GB2312" w:eastAsia="仿宋_GB2312"/>
                <w:sz w:val="28"/>
                <w:b/>
              </w:rPr>
              <w:t>8、质量要求：</w:t>
            </w:r>
            <w:r>
              <w:rPr>
                <w:rFonts w:ascii="仿宋_GB2312" w:hAnsi="仿宋_GB2312" w:cs="仿宋_GB2312" w:eastAsia="仿宋_GB2312"/>
                <w:sz w:val="28"/>
              </w:rPr>
              <w:t>符合国家及行业质量验收标准</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项目开工后预付合同款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成效验收合格，并经审计验收结束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提供投标截止日近半年内任意一月的纳税证明或完税证明（任意税种），依法免税的单位应提供相关证明材料；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提供投标截止日近半年内任意一月的社会保障资金缴存单据或社保机构开具的社会保险参保缴费情况证明，依法不需要缴纳社会保障资金的单位应提供相关证明材料；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设备和专业技术能力提供声明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响应文件上法定代表人或其授权代表人的签字 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磋商响应文件格式、语言、计量单 位、报价货币</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供应商认为需要提交的其他资料.docx 服务内容及服务邀请应答表 商务应答表 响应函 反商业贿赂承诺函.docx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磋商一览表.docx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针对本项目制订总体服务方案；方案描述详细，架构完整，能充分体现项目需求，计12.1-18.0分； 总体方案描述一般，基本满足，计6.1-12.0分； 总体方案描述不详细，不满足项目采购要求计0-6.0分。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有完善的质量保证措施，逻辑性和可操作性强，措施完善，切实可行，计10.1-15.0分； 措施一般，基本满足项目需要的计5.1-10.0分； 措施较差计0-5.0分。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针对本项目提供人员配置及安排方案，配备及安排方案充足合理，切实可行，有详细的描述，计8.1-12.0分； 人员配备及安排方案一般，基本满足项目实施需要的计4.1-8.0分； 人员配备及安排方案较差计0-4.0分。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针对本项目提供进度计划。 方案描述详细，安排合理，切实可行，计 7.1-10.0分； 进度计划基本满足项目实施需要的计4.1-7.0分； 进度计划不能满足本项目实施需要，完成项目能力差的计0-4.0分。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安全保证措施科学合理，切实可行，在方案中有详细的描述计7.1-10.0分； 安全保证措施一般，基本满足项目施工需要的计4.1-7.0分； 安全保证措施较差的计0-4.0分。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针对本项目应急处理措施总体思路清晰，工作重点突出、内容全面。 应急和突发事件的处理措施方案全面、科学、合理、可行，计6.1-9.0分； 措施一般，基本满足项目需要的计3.1-6.0分； 措施较差计0-3.0分。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设备配备情况</w:t>
            </w:r>
          </w:p>
        </w:tc>
        <w:tc>
          <w:tcPr>
            <w:tcW w:type="dxa" w:w="2492"/>
          </w:tcPr>
          <w:p>
            <w:pPr>
              <w:pStyle w:val="null3"/>
            </w:pPr>
            <w:r>
              <w:rPr>
                <w:rFonts w:ascii="仿宋_GB2312" w:hAnsi="仿宋_GB2312" w:cs="仿宋_GB2312" w:eastAsia="仿宋_GB2312"/>
              </w:rPr>
              <w:t>根据供应商拟为本项目投入的专业工具及设备配备情况综合评审。工具配置齐全，满足工作需求，计3.1-6.0 分；工具配置基本满足工作需求计0-3.0分。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项目重难点分析及应对措施</w:t>
            </w:r>
          </w:p>
        </w:tc>
        <w:tc>
          <w:tcPr>
            <w:tcW w:type="dxa" w:w="2492"/>
          </w:tcPr>
          <w:p>
            <w:pPr>
              <w:pStyle w:val="null3"/>
            </w:pPr>
            <w:r>
              <w:rPr>
                <w:rFonts w:ascii="仿宋_GB2312" w:hAnsi="仿宋_GB2312" w:cs="仿宋_GB2312" w:eastAsia="仿宋_GB2312"/>
              </w:rPr>
              <w:t>针对本项目实施过程中所出现的重难点理解到位、应对措施详细完整、内容全面得4.1-6.0分； 重难点理 解及应对措施方案简单，内容不全面得2.1-4.0分；重难点理解及方案说明不符合本项目内容得计0-2.0分；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供应商须提供2022年11月至今（以合同签订时间为准）类似项目业绩(同时提供合同复印件加盖公章)，每提供一份得2分，最高得4分。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 磋商报价得分=（磋商基准价/最终磋商报价）*价格分值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详见附件：供应商认为需要提交的其他资料.docx</w:t>
      </w:r>
    </w:p>
    <w:p>
      <w:pPr>
        <w:pStyle w:val="null3"/>
        <w:ind w:firstLine="960"/>
      </w:pPr>
      <w:r>
        <w:rPr>
          <w:rFonts w:ascii="仿宋_GB2312" w:hAnsi="仿宋_GB2312" w:cs="仿宋_GB2312" w:eastAsia="仿宋_GB2312"/>
        </w:rPr>
        <w:t>详见附件：反商业贿赂承诺函.docx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详见附件：2025林草有害生物防治-合同条款及格式.docx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