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EC249">
      <w:pPr>
        <w:rPr>
          <w:rFonts w:hint="eastAsia" w:ascii="宋体" w:hAnsi="宋体"/>
          <w:b/>
          <w:sz w:val="32"/>
          <w:szCs w:val="32"/>
          <w:highlight w:val="none"/>
        </w:rPr>
      </w:pPr>
      <w:r>
        <w:rPr>
          <w:rFonts w:hint="eastAsia" w:ascii="宋体" w:hAnsi="宋体"/>
          <w:b/>
          <w:sz w:val="32"/>
          <w:szCs w:val="32"/>
          <w:highlight w:val="none"/>
        </w:rPr>
        <w:t>政府采购项目</w:t>
      </w:r>
    </w:p>
    <w:p w14:paraId="27993B1D">
      <w:pPr>
        <w:jc w:val="both"/>
        <w:rPr>
          <w:rFonts w:hint="eastAsia" w:ascii="宋体" w:hAnsi="宋体" w:eastAsia="宋体"/>
          <w:sz w:val="52"/>
          <w:szCs w:val="52"/>
          <w:highlight w:val="none"/>
          <w:lang w:eastAsia="zh-CN"/>
        </w:rPr>
      </w:pPr>
    </w:p>
    <w:p w14:paraId="58CE80B0">
      <w:pPr>
        <w:ind w:firstLine="1898" w:firstLineChars="350"/>
        <w:rPr>
          <w:rFonts w:hint="eastAsia" w:ascii="宋体" w:hAnsi="宋体"/>
          <w:b/>
          <w:spacing w:val="-20"/>
          <w:sz w:val="58"/>
          <w:szCs w:val="58"/>
          <w:highlight w:val="none"/>
        </w:rPr>
      </w:pPr>
      <w:r>
        <w:rPr>
          <w:rFonts w:hint="eastAsia" w:ascii="宋体" w:hAnsi="宋体"/>
          <w:b/>
          <w:spacing w:val="-20"/>
          <w:sz w:val="58"/>
          <w:szCs w:val="58"/>
          <w:highlight w:val="none"/>
        </w:rPr>
        <w:t>X X X X X X</w:t>
      </w:r>
      <w:r>
        <w:rPr>
          <w:rFonts w:hint="eastAsia" w:ascii="宋体" w:hAnsi="宋体"/>
          <w:b/>
          <w:color w:val="FF0000"/>
          <w:spacing w:val="-20"/>
          <w:sz w:val="58"/>
          <w:szCs w:val="58"/>
          <w:highlight w:val="none"/>
        </w:rPr>
        <w:t>（项目名称）</w:t>
      </w:r>
    </w:p>
    <w:p w14:paraId="709EAE18">
      <w:pPr>
        <w:jc w:val="center"/>
        <w:rPr>
          <w:rFonts w:hint="eastAsia" w:ascii="宋体" w:hAnsi="宋体"/>
          <w:b/>
          <w:sz w:val="72"/>
          <w:szCs w:val="72"/>
          <w:highlight w:val="none"/>
        </w:rPr>
      </w:pPr>
    </w:p>
    <w:p w14:paraId="1CFC90E0">
      <w:pPr>
        <w:jc w:val="center"/>
        <w:rPr>
          <w:rFonts w:hint="eastAsia" w:ascii="宋体" w:hAnsi="宋体"/>
          <w:b/>
          <w:sz w:val="72"/>
          <w:szCs w:val="72"/>
          <w:highlight w:val="none"/>
        </w:rPr>
      </w:pPr>
    </w:p>
    <w:p w14:paraId="536049A0">
      <w:pPr>
        <w:jc w:val="center"/>
        <w:rPr>
          <w:rFonts w:hint="eastAsia" w:ascii="宋体" w:hAnsi="宋体"/>
          <w:b/>
          <w:sz w:val="72"/>
          <w:szCs w:val="72"/>
          <w:highlight w:val="none"/>
        </w:rPr>
      </w:pPr>
      <w:r>
        <w:rPr>
          <w:rFonts w:hint="eastAsia" w:ascii="宋体" w:hAnsi="宋体"/>
          <w:b/>
          <w:sz w:val="72"/>
          <w:szCs w:val="72"/>
          <w:highlight w:val="none"/>
        </w:rPr>
        <w:t>供 货 合 同</w:t>
      </w:r>
    </w:p>
    <w:p w14:paraId="1470DA30">
      <w:pPr>
        <w:jc w:val="center"/>
        <w:rPr>
          <w:rFonts w:hint="eastAsia" w:ascii="宋体" w:hAnsi="宋体"/>
          <w:sz w:val="30"/>
          <w:szCs w:val="30"/>
          <w:highlight w:val="none"/>
        </w:rPr>
      </w:pPr>
      <w:r>
        <w:rPr>
          <w:rFonts w:hint="eastAsia" w:ascii="宋体" w:hAnsi="宋体"/>
          <w:sz w:val="30"/>
          <w:szCs w:val="30"/>
          <w:highlight w:val="none"/>
        </w:rPr>
        <w:t>（编号：</w:t>
      </w:r>
      <w:r>
        <w:rPr>
          <w:rFonts w:hint="eastAsia" w:ascii="宋体" w:hAnsi="宋体"/>
          <w:sz w:val="30"/>
          <w:szCs w:val="30"/>
          <w:highlight w:val="none"/>
          <w:lang w:val="en-US" w:eastAsia="zh-CN"/>
        </w:rPr>
        <w:t xml:space="preserve">        </w:t>
      </w:r>
      <w:r>
        <w:rPr>
          <w:rFonts w:hint="eastAsia" w:ascii="宋体" w:hAnsi="宋体"/>
          <w:sz w:val="30"/>
          <w:szCs w:val="30"/>
          <w:highlight w:val="none"/>
        </w:rPr>
        <w:t>）</w:t>
      </w:r>
    </w:p>
    <w:p w14:paraId="358076E5">
      <w:pPr>
        <w:jc w:val="center"/>
        <w:rPr>
          <w:rFonts w:hint="eastAsia" w:ascii="宋体" w:hAnsi="宋体" w:eastAsia="宋体"/>
          <w:sz w:val="30"/>
          <w:szCs w:val="30"/>
          <w:highlight w:val="none"/>
          <w:lang w:eastAsia="zh-CN"/>
        </w:rPr>
      </w:pPr>
      <w:r>
        <w:rPr>
          <w:rFonts w:hint="eastAsia" w:ascii="宋体" w:hAnsi="宋体"/>
          <w:sz w:val="30"/>
          <w:szCs w:val="30"/>
          <w:highlight w:val="none"/>
          <w:lang w:val="en-US" w:eastAsia="zh-CN"/>
        </w:rPr>
        <w:t xml:space="preserve"> </w:t>
      </w:r>
    </w:p>
    <w:p w14:paraId="130E640C">
      <w:pPr>
        <w:jc w:val="center"/>
        <w:rPr>
          <w:rFonts w:hint="eastAsia" w:ascii="宋体" w:hAnsi="宋体"/>
          <w:sz w:val="30"/>
          <w:szCs w:val="30"/>
          <w:highlight w:val="none"/>
        </w:rPr>
      </w:pPr>
    </w:p>
    <w:p w14:paraId="7F0E5A00">
      <w:pPr>
        <w:jc w:val="center"/>
        <w:rPr>
          <w:rFonts w:hint="eastAsia" w:ascii="宋体" w:hAnsi="宋体"/>
          <w:sz w:val="30"/>
          <w:szCs w:val="30"/>
          <w:highlight w:val="none"/>
        </w:rPr>
      </w:pPr>
    </w:p>
    <w:p w14:paraId="27194596">
      <w:pPr>
        <w:jc w:val="both"/>
        <w:rPr>
          <w:rFonts w:hint="eastAsia" w:ascii="宋体" w:hAnsi="宋体"/>
          <w:sz w:val="30"/>
          <w:szCs w:val="30"/>
          <w:highlight w:val="none"/>
        </w:rPr>
      </w:pPr>
    </w:p>
    <w:p w14:paraId="09A6BAF5">
      <w:pPr>
        <w:jc w:val="center"/>
        <w:rPr>
          <w:rFonts w:hint="eastAsia" w:ascii="宋体" w:hAnsi="宋体"/>
          <w:sz w:val="30"/>
          <w:szCs w:val="30"/>
          <w:highlight w:val="none"/>
        </w:rPr>
      </w:pPr>
    </w:p>
    <w:p w14:paraId="4D96CCFE">
      <w:pPr>
        <w:ind w:firstLine="2124" w:firstLineChars="664"/>
        <w:rPr>
          <w:rFonts w:hint="eastAsia" w:ascii="宋体" w:hAnsi="宋体"/>
          <w:sz w:val="32"/>
          <w:szCs w:val="32"/>
          <w:highlight w:val="none"/>
        </w:rPr>
      </w:pPr>
      <w:r>
        <w:rPr>
          <w:rFonts w:hint="eastAsia" w:ascii="宋体" w:hAnsi="宋体"/>
          <w:sz w:val="32"/>
          <w:szCs w:val="32"/>
          <w:highlight w:val="none"/>
        </w:rPr>
        <w:t>甲  方：XXXXXXX</w:t>
      </w:r>
    </w:p>
    <w:p w14:paraId="7621FBD4">
      <w:pPr>
        <w:tabs>
          <w:tab w:val="left" w:pos="480"/>
        </w:tabs>
        <w:ind w:firstLine="2124" w:firstLineChars="664"/>
        <w:rPr>
          <w:rFonts w:hint="eastAsia" w:ascii="宋体" w:hAnsi="宋体"/>
          <w:sz w:val="32"/>
          <w:szCs w:val="32"/>
          <w:highlight w:val="none"/>
        </w:rPr>
      </w:pPr>
      <w:r>
        <w:rPr>
          <w:rFonts w:hint="eastAsia" w:ascii="宋体" w:hAnsi="宋体"/>
          <w:sz w:val="32"/>
          <w:szCs w:val="32"/>
          <w:highlight w:val="none"/>
        </w:rPr>
        <w:t>乙  方：XXXXXXX</w:t>
      </w:r>
    </w:p>
    <w:p w14:paraId="6ED1E109">
      <w:pPr>
        <w:jc w:val="center"/>
        <w:rPr>
          <w:rFonts w:hint="eastAsia" w:ascii="宋体" w:hAnsi="宋体"/>
          <w:sz w:val="30"/>
          <w:szCs w:val="30"/>
          <w:highlight w:val="none"/>
        </w:rPr>
      </w:pPr>
    </w:p>
    <w:p w14:paraId="770E6551">
      <w:pPr>
        <w:jc w:val="center"/>
        <w:rPr>
          <w:rFonts w:hint="eastAsia" w:ascii="宋体" w:hAnsi="宋体"/>
          <w:sz w:val="32"/>
          <w:szCs w:val="32"/>
          <w:highlight w:val="none"/>
        </w:rPr>
      </w:pPr>
      <w:r>
        <w:rPr>
          <w:rFonts w:hint="eastAsia" w:ascii="宋体" w:hAnsi="宋体"/>
          <w:sz w:val="32"/>
          <w:szCs w:val="32"/>
          <w:highlight w:val="none"/>
        </w:rPr>
        <w:t>202X年XX月</w:t>
      </w:r>
    </w:p>
    <w:p w14:paraId="5D427B21">
      <w:pPr>
        <w:jc w:val="center"/>
        <w:rPr>
          <w:rFonts w:hint="eastAsia" w:ascii="宋体" w:hAnsi="宋体"/>
          <w:b/>
          <w:sz w:val="36"/>
          <w:szCs w:val="36"/>
          <w:highlight w:val="none"/>
        </w:rPr>
      </w:pPr>
      <w:r>
        <w:rPr>
          <w:rFonts w:hint="eastAsia" w:ascii="宋体" w:hAnsi="宋体"/>
          <w:sz w:val="32"/>
          <w:szCs w:val="32"/>
          <w:highlight w:val="none"/>
        </w:rPr>
        <w:t>中国  西安</w:t>
      </w:r>
    </w:p>
    <w:p w14:paraId="4EB5563B">
      <w:pPr>
        <w:keepNext w:val="0"/>
        <w:keepLines w:val="0"/>
        <w:pageBreakBefore w:val="0"/>
        <w:widowControl w:val="0"/>
        <w:kinsoku/>
        <w:wordWrap/>
        <w:overflowPunct/>
        <w:topLinePunct w:val="0"/>
        <w:autoSpaceDE/>
        <w:autoSpaceDN/>
        <w:bidi w:val="0"/>
        <w:adjustRightInd/>
        <w:snapToGrid/>
        <w:spacing w:before="0" w:beforeLines="100" w:line="384" w:lineRule="auto"/>
        <w:textAlignment w:val="auto"/>
        <w:rPr>
          <w:rFonts w:hint="eastAsia" w:ascii="宋体" w:hAnsi="宋体" w:eastAsia="宋体" w:cs="宋体"/>
          <w:sz w:val="24"/>
          <w:szCs w:val="24"/>
          <w:highlight w:val="none"/>
        </w:rPr>
      </w:pPr>
      <w:r>
        <w:rPr>
          <w:rFonts w:ascii="宋体" w:hAnsi="宋体"/>
          <w:color w:val="000000"/>
          <w:spacing w:val="-20"/>
          <w:kern w:val="0"/>
          <w:sz w:val="28"/>
          <w:szCs w:val="20"/>
          <w:highlight w:val="none"/>
        </w:rPr>
        <w:br w:type="page"/>
      </w:r>
      <w:r>
        <w:rPr>
          <w:rFonts w:hint="eastAsia" w:ascii="宋体" w:hAnsi="宋体" w:eastAsia="宋体" w:cs="宋体"/>
          <w:sz w:val="24"/>
          <w:szCs w:val="24"/>
          <w:highlight w:val="none"/>
        </w:rPr>
        <w:t>合同编号：</w:t>
      </w:r>
    </w:p>
    <w:p w14:paraId="2DF48404">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签订地点：</w:t>
      </w:r>
    </w:p>
    <w:p w14:paraId="77B063E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p w14:paraId="12A380C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 (甲方)：</w:t>
      </w:r>
    </w:p>
    <w:p w14:paraId="7FB375BE">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中标人 (乙方)：</w:t>
      </w:r>
    </w:p>
    <w:p w14:paraId="01E3777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根据《中华人民共和国政府采购法》及实施条例、《中华人民共和国民法典》</w:t>
      </w:r>
    </w:p>
    <w:p w14:paraId="7772C981">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和甲方采购项目 (项目编号：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的</w:t>
      </w:r>
      <w:r>
        <w:rPr>
          <w:rFonts w:hint="eastAsia" w:ascii="宋体" w:hAnsi="宋体" w:cs="宋体"/>
          <w:sz w:val="24"/>
          <w:szCs w:val="24"/>
          <w:highlight w:val="none"/>
          <w:lang w:eastAsia="zh-CN"/>
        </w:rPr>
        <w:t>采购</w:t>
      </w:r>
      <w:r>
        <w:rPr>
          <w:rFonts w:hint="eastAsia" w:ascii="宋体" w:hAnsi="宋体" w:cs="宋体"/>
          <w:sz w:val="24"/>
          <w:szCs w:val="24"/>
          <w:highlight w:val="none"/>
          <w:lang w:val="en-US" w:eastAsia="zh-CN"/>
        </w:rPr>
        <w:t>文件</w:t>
      </w:r>
      <w:r>
        <w:rPr>
          <w:rFonts w:hint="eastAsia" w:ascii="宋体" w:hAnsi="宋体" w:eastAsia="宋体" w:cs="宋体"/>
          <w:sz w:val="24"/>
          <w:szCs w:val="24"/>
          <w:highlight w:val="none"/>
        </w:rPr>
        <w:t>、响应文件等有关规定，为确保甲方采购项目的顺利实施，甲、乙双方在平等自愿原则下签订本合同，并共同遵守如下条款：</w:t>
      </w:r>
    </w:p>
    <w:p w14:paraId="4CBA7631">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 合同标的及数量</w:t>
      </w:r>
    </w:p>
    <w:p w14:paraId="039C3200">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乙方向甲方提供下列货物 (产品)：</w:t>
      </w:r>
    </w:p>
    <w:p w14:paraId="0674645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供货一览表</w:t>
      </w:r>
    </w:p>
    <w:tbl>
      <w:tblPr>
        <w:tblStyle w:val="6"/>
        <w:tblW w:w="8809"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328"/>
        <w:gridCol w:w="759"/>
        <w:gridCol w:w="1477"/>
        <w:gridCol w:w="531"/>
        <w:gridCol w:w="713"/>
        <w:gridCol w:w="727"/>
        <w:gridCol w:w="1058"/>
        <w:gridCol w:w="1472"/>
      </w:tblGrid>
      <w:tr w14:paraId="6E9E3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744" w:type="dxa"/>
            <w:tcBorders>
              <w:left w:val="single" w:color="000000" w:sz="10" w:space="0"/>
            </w:tcBorders>
            <w:noWrap w:val="0"/>
            <w:vAlign w:val="center"/>
          </w:tcPr>
          <w:p w14:paraId="40B48A1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1105B61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328" w:type="dxa"/>
            <w:noWrap w:val="0"/>
            <w:vAlign w:val="center"/>
          </w:tcPr>
          <w:p w14:paraId="41E7073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29525CB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759" w:type="dxa"/>
            <w:noWrap w:val="0"/>
            <w:vAlign w:val="center"/>
          </w:tcPr>
          <w:p w14:paraId="75F9E5B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w:t>
            </w:r>
          </w:p>
          <w:p w14:paraId="1524C24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代码</w:t>
            </w:r>
          </w:p>
        </w:tc>
        <w:tc>
          <w:tcPr>
            <w:tcW w:w="1477" w:type="dxa"/>
            <w:noWrap w:val="0"/>
            <w:vAlign w:val="center"/>
          </w:tcPr>
          <w:p w14:paraId="19E51F3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7E73961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品牌/型号</w:t>
            </w:r>
          </w:p>
        </w:tc>
        <w:tc>
          <w:tcPr>
            <w:tcW w:w="531" w:type="dxa"/>
            <w:noWrap w:val="0"/>
            <w:textDirection w:val="tbRlV"/>
            <w:vAlign w:val="center"/>
          </w:tcPr>
          <w:p w14:paraId="3C469D9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 格</w:t>
            </w:r>
          </w:p>
        </w:tc>
        <w:tc>
          <w:tcPr>
            <w:tcW w:w="713" w:type="dxa"/>
            <w:noWrap w:val="0"/>
            <w:vAlign w:val="center"/>
          </w:tcPr>
          <w:p w14:paraId="610DBD9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计量</w:t>
            </w:r>
          </w:p>
          <w:p w14:paraId="5D5CA36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27" w:type="dxa"/>
            <w:noWrap w:val="0"/>
            <w:vAlign w:val="center"/>
          </w:tcPr>
          <w:p w14:paraId="29979DC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1672D98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058" w:type="dxa"/>
            <w:noWrap w:val="0"/>
            <w:vAlign w:val="center"/>
          </w:tcPr>
          <w:p w14:paraId="2612D5A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58D4F44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(元)</w:t>
            </w:r>
          </w:p>
        </w:tc>
        <w:tc>
          <w:tcPr>
            <w:tcW w:w="1472" w:type="dxa"/>
            <w:tcBorders>
              <w:right w:val="single" w:color="000000" w:sz="10" w:space="0"/>
            </w:tcBorders>
            <w:noWrap w:val="0"/>
            <w:vAlign w:val="center"/>
          </w:tcPr>
          <w:p w14:paraId="374CBCE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42FF999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金额 (元)</w:t>
            </w:r>
          </w:p>
        </w:tc>
      </w:tr>
      <w:tr w14:paraId="75059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tcBorders>
              <w:left w:val="single" w:color="000000" w:sz="10" w:space="0"/>
            </w:tcBorders>
            <w:noWrap w:val="0"/>
            <w:vAlign w:val="center"/>
          </w:tcPr>
          <w:p w14:paraId="7B34BC4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7D9DD4C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20DF40A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4BD2752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73A8BD3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FB0791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36FBBB6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0230F88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71ECB25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5428B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44D92F1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2517721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0E77065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7C882A6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4382E55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1E26F71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7B3E95F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6947191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56D6E7B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4D992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1E3C5AB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115FFE0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1207370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21E9EF7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2BA94F8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B84D48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52ACAD9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77921A0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627B276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500F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5C8F264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6CB195D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7F839FD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4A044B0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307AEF2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7BBC1DD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546F456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59649E3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541ADD8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C03F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744" w:type="dxa"/>
            <w:tcBorders>
              <w:left w:val="single" w:color="000000" w:sz="10" w:space="0"/>
            </w:tcBorders>
            <w:noWrap w:val="0"/>
            <w:vAlign w:val="center"/>
          </w:tcPr>
          <w:p w14:paraId="75D17F5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2087" w:type="dxa"/>
            <w:gridSpan w:val="2"/>
            <w:noWrap w:val="0"/>
            <w:vAlign w:val="center"/>
          </w:tcPr>
          <w:p w14:paraId="7E4CEC5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3448" w:type="dxa"/>
            <w:gridSpan w:val="4"/>
            <w:noWrap w:val="0"/>
            <w:vAlign w:val="center"/>
          </w:tcPr>
          <w:p w14:paraId="66CA49C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大写</w:t>
            </w:r>
          </w:p>
        </w:tc>
        <w:tc>
          <w:tcPr>
            <w:tcW w:w="2530" w:type="dxa"/>
            <w:gridSpan w:val="2"/>
            <w:tcBorders>
              <w:right w:val="single" w:color="000000" w:sz="10" w:space="0"/>
            </w:tcBorders>
            <w:noWrap w:val="0"/>
            <w:vAlign w:val="center"/>
          </w:tcPr>
          <w:p w14:paraId="03458CB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r>
    </w:tbl>
    <w:p w14:paraId="5A83E6F7">
      <w:pPr>
        <w:keepNext w:val="0"/>
        <w:keepLines w:val="0"/>
        <w:pageBreakBefore w:val="0"/>
        <w:widowControl w:val="0"/>
        <w:kinsoku/>
        <w:wordWrap/>
        <w:overflowPunct/>
        <w:topLinePunct w:val="0"/>
        <w:autoSpaceDE/>
        <w:autoSpaceDN/>
        <w:bidi w:val="0"/>
        <w:adjustRightInd/>
        <w:snapToGrid/>
        <w:spacing w:before="0" w:beforeLines="50" w:after="0" w:afterLines="50" w:line="360" w:lineRule="auto"/>
        <w:textAlignment w:val="auto"/>
        <w:rPr>
          <w:rFonts w:hint="eastAsia" w:ascii="宋体" w:hAnsi="宋体"/>
          <w:b/>
          <w:color w:val="000000"/>
          <w:kern w:val="0"/>
          <w:sz w:val="24"/>
          <w:lang w:val="en-US" w:eastAsia="zh-CN"/>
        </w:rPr>
      </w:pPr>
      <w:r>
        <w:rPr>
          <w:rFonts w:hint="eastAsia" w:ascii="宋体" w:hAnsi="宋体" w:cs="宋体"/>
          <w:b w:val="0"/>
          <w:bCs w:val="0"/>
          <w:color w:val="auto"/>
          <w:sz w:val="24"/>
          <w:highlight w:val="none"/>
          <w:lang w:val="en-US" w:eastAsia="zh-CN"/>
        </w:rPr>
        <w:t>2.</w:t>
      </w:r>
      <w:r>
        <w:rPr>
          <w:rFonts w:hint="eastAsia" w:ascii="宋体" w:hAnsi="宋体" w:cs="宋体"/>
          <w:b w:val="0"/>
          <w:bCs w:val="0"/>
          <w:color w:val="auto"/>
          <w:sz w:val="24"/>
          <w:highlight w:val="none"/>
          <w:lang w:eastAsia="zh-CN"/>
        </w:rPr>
        <w:t>数量、金额</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szCs w:val="24"/>
          <w:highlight w:val="none"/>
        </w:rPr>
        <w:t>具</w:t>
      </w:r>
      <w:r>
        <w:rPr>
          <w:rFonts w:hint="eastAsia" w:ascii="宋体" w:hAnsi="宋体" w:eastAsia="宋体" w:cs="宋体"/>
          <w:color w:val="auto"/>
          <w:sz w:val="24"/>
          <w:szCs w:val="24"/>
          <w:highlight w:val="none"/>
        </w:rPr>
        <w:t>体以双方交货确认数量为准，金额根据单价数量核算为准。</w:t>
      </w:r>
    </w:p>
    <w:p w14:paraId="294253CE">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二</w:t>
      </w:r>
      <w:r>
        <w:rPr>
          <w:rFonts w:hint="eastAsia" w:ascii="宋体" w:hAnsi="宋体"/>
          <w:b/>
          <w:color w:val="000000"/>
          <w:kern w:val="0"/>
          <w:sz w:val="24"/>
          <w:lang w:val="en-US" w:eastAsia="zh-CN"/>
        </w:rPr>
        <w:t>条</w:t>
      </w:r>
      <w:r>
        <w:rPr>
          <w:rFonts w:hint="eastAsia" w:ascii="宋体" w:hAnsi="宋体"/>
          <w:b/>
          <w:color w:val="000000"/>
          <w:kern w:val="0"/>
          <w:sz w:val="24"/>
        </w:rPr>
        <w:t>、交货条件：</w:t>
      </w:r>
    </w:p>
    <w:p w14:paraId="15EC4060">
      <w:pPr>
        <w:ind w:firstLine="480" w:firstLineChars="200"/>
        <w:rPr>
          <w:rFonts w:hint="eastAsia" w:ascii="宋体" w:hAnsi="宋体"/>
          <w:sz w:val="24"/>
        </w:rPr>
      </w:pPr>
      <w:r>
        <w:rPr>
          <w:rFonts w:hint="eastAsia" w:ascii="宋体" w:hAnsi="宋体"/>
          <w:sz w:val="24"/>
        </w:rPr>
        <w:t>（一）交货地点：</w:t>
      </w:r>
      <w:r>
        <w:rPr>
          <w:rFonts w:hint="eastAsia" w:ascii="宋体" w:hAnsi="宋体"/>
          <w:sz w:val="24"/>
          <w:lang w:val="en-US" w:eastAsia="zh-CN"/>
        </w:rPr>
        <w:t>蒲城县范围内采购人指定地点。</w:t>
      </w:r>
    </w:p>
    <w:p w14:paraId="31BE46D6">
      <w:pPr>
        <w:ind w:firstLine="480" w:firstLineChars="200"/>
        <w:rPr>
          <w:rFonts w:hint="eastAsia" w:ascii="宋体" w:hAnsi="宋体" w:eastAsia="宋体" w:cs="宋体"/>
          <w:b/>
          <w:bCs/>
          <w:sz w:val="24"/>
          <w:szCs w:val="24"/>
          <w:highlight w:val="none"/>
        </w:rPr>
      </w:pPr>
      <w:r>
        <w:rPr>
          <w:rFonts w:hint="eastAsia" w:ascii="宋体" w:hAnsi="宋体"/>
          <w:sz w:val="24"/>
        </w:rPr>
        <w:t>（二）交货期：</w:t>
      </w:r>
      <w:r>
        <w:rPr>
          <w:rFonts w:hint="eastAsia" w:ascii="宋体" w:hAnsi="宋体"/>
          <w:sz w:val="24"/>
          <w:lang w:val="en-US" w:eastAsia="zh-CN"/>
        </w:rPr>
        <w:t>采购合同签订后15日内完成</w:t>
      </w:r>
      <w:r>
        <w:rPr>
          <w:rFonts w:hint="eastAsia" w:ascii="宋体" w:hAnsi="宋体"/>
          <w:sz w:val="24"/>
        </w:rPr>
        <w:t>。</w:t>
      </w:r>
    </w:p>
    <w:p w14:paraId="64DB3030">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三</w:t>
      </w:r>
      <w:r>
        <w:rPr>
          <w:rFonts w:hint="eastAsia" w:ascii="宋体" w:hAnsi="宋体"/>
          <w:b/>
          <w:color w:val="000000"/>
          <w:kern w:val="0"/>
          <w:sz w:val="24"/>
          <w:lang w:val="en-US" w:eastAsia="zh-CN"/>
        </w:rPr>
        <w:t>条</w:t>
      </w:r>
      <w:r>
        <w:rPr>
          <w:rFonts w:hint="eastAsia" w:ascii="宋体" w:hAnsi="宋体"/>
          <w:b/>
          <w:color w:val="000000"/>
          <w:kern w:val="0"/>
          <w:sz w:val="24"/>
        </w:rPr>
        <w:t>、合同价款</w:t>
      </w:r>
    </w:p>
    <w:p w14:paraId="68E34D2C">
      <w:pPr>
        <w:ind w:firstLine="480" w:firstLineChars="200"/>
        <w:rPr>
          <w:rFonts w:hint="eastAsia" w:ascii="宋体" w:hAnsi="宋体"/>
          <w:sz w:val="24"/>
        </w:rPr>
      </w:pPr>
      <w:r>
        <w:rPr>
          <w:rFonts w:hint="eastAsia" w:ascii="宋体" w:hAnsi="宋体"/>
          <w:sz w:val="24"/>
        </w:rPr>
        <w:t>（一）合同总价款为人民币（大写）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5F5910D9">
      <w:pPr>
        <w:ind w:firstLine="480" w:firstLineChars="200"/>
        <w:rPr>
          <w:rFonts w:hint="eastAsia" w:ascii="宋体" w:hAnsi="宋体"/>
          <w:sz w:val="24"/>
        </w:rPr>
      </w:pPr>
      <w:r>
        <w:rPr>
          <w:rFonts w:hint="eastAsia" w:ascii="宋体" w:hAnsi="宋体"/>
          <w:sz w:val="24"/>
        </w:rPr>
        <w:t>（二）合同总价包括：×××费、×××费、×××费和其他费用。</w:t>
      </w:r>
    </w:p>
    <w:p w14:paraId="7F989E84">
      <w:pPr>
        <w:ind w:firstLine="480" w:firstLineChars="200"/>
        <w:rPr>
          <w:rFonts w:hint="eastAsia" w:ascii="宋体" w:hAnsi="宋体"/>
          <w:sz w:val="24"/>
        </w:rPr>
      </w:pPr>
      <w:r>
        <w:rPr>
          <w:rFonts w:hint="eastAsia" w:ascii="宋体" w:hAnsi="宋体"/>
          <w:sz w:val="24"/>
        </w:rPr>
        <w:t>（三）合同总价一次性包死，不受市场价格变化因素的影响。</w:t>
      </w:r>
    </w:p>
    <w:p w14:paraId="6DE00552">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四</w:t>
      </w:r>
      <w:r>
        <w:rPr>
          <w:rFonts w:hint="eastAsia" w:ascii="宋体" w:hAnsi="宋体"/>
          <w:b/>
          <w:color w:val="000000"/>
          <w:kern w:val="0"/>
          <w:sz w:val="24"/>
          <w:lang w:val="en-US" w:eastAsia="zh-CN"/>
        </w:rPr>
        <w:t>条</w:t>
      </w:r>
      <w:r>
        <w:rPr>
          <w:rFonts w:hint="eastAsia" w:ascii="宋体" w:hAnsi="宋体"/>
          <w:b/>
          <w:color w:val="000000"/>
          <w:kern w:val="0"/>
          <w:sz w:val="24"/>
        </w:rPr>
        <w:t>、款项结算</w:t>
      </w:r>
    </w:p>
    <w:p w14:paraId="7DEAD267">
      <w:pPr>
        <w:ind w:firstLine="480" w:firstLineChars="200"/>
        <w:rPr>
          <w:rFonts w:hint="eastAsia" w:ascii="宋体" w:hAnsi="宋体"/>
          <w:sz w:val="24"/>
          <w:lang w:val="en-US" w:eastAsia="zh-CN"/>
        </w:rPr>
      </w:pPr>
      <w:r>
        <w:rPr>
          <w:rFonts w:hint="eastAsia" w:ascii="宋体" w:hAnsi="宋体"/>
          <w:color w:val="000000"/>
          <w:kern w:val="0"/>
          <w:sz w:val="24"/>
        </w:rPr>
        <w:t>（一）</w:t>
      </w:r>
      <w:r>
        <w:rPr>
          <w:rFonts w:hint="eastAsia" w:ascii="宋体" w:hAnsi="宋体"/>
          <w:sz w:val="24"/>
        </w:rPr>
        <w:t>合同签订后 ，达到付款条件起 1</w:t>
      </w:r>
      <w:r>
        <w:rPr>
          <w:rFonts w:hint="eastAsia" w:ascii="宋体" w:hAnsi="宋体"/>
          <w:sz w:val="24"/>
          <w:lang w:val="en-US" w:eastAsia="zh-CN"/>
        </w:rPr>
        <w:t>5</w:t>
      </w:r>
      <w:r>
        <w:rPr>
          <w:rFonts w:hint="eastAsia" w:ascii="宋体" w:hAnsi="宋体"/>
          <w:sz w:val="24"/>
        </w:rPr>
        <w:t xml:space="preserve"> 日内，支付合同总金额的 </w:t>
      </w:r>
      <w:r>
        <w:rPr>
          <w:rFonts w:hint="eastAsia" w:ascii="宋体" w:hAnsi="宋体"/>
          <w:sz w:val="24"/>
          <w:lang w:val="en-US" w:eastAsia="zh-CN"/>
        </w:rPr>
        <w:t>4</w:t>
      </w:r>
      <w:r>
        <w:rPr>
          <w:rFonts w:hint="eastAsia" w:ascii="宋体" w:hAnsi="宋体"/>
          <w:sz w:val="24"/>
        </w:rPr>
        <w:t>0.00%</w:t>
      </w:r>
      <w:r>
        <w:rPr>
          <w:rFonts w:hint="eastAsia" w:ascii="宋体" w:hAnsi="宋体"/>
          <w:sz w:val="24"/>
          <w:lang w:eastAsia="zh-CN"/>
        </w:rPr>
        <w:t>；</w:t>
      </w:r>
      <w:r>
        <w:rPr>
          <w:rFonts w:hint="eastAsia" w:ascii="宋体" w:hAnsi="宋体"/>
          <w:sz w:val="24"/>
          <w:lang w:val="en-US" w:eastAsia="zh-CN"/>
        </w:rPr>
        <w:t>货物送达采购人指定地点并经</w:t>
      </w:r>
      <w:r>
        <w:rPr>
          <w:rFonts w:hint="default" w:ascii="宋体" w:hAnsi="宋体"/>
          <w:sz w:val="24"/>
          <w:lang w:val="en-US" w:eastAsia="zh-CN"/>
        </w:rPr>
        <w:t xml:space="preserve">验收合格后，供应商提供全额增值税发票，达到付款条件起 15 日内，支付合同总金额的 </w:t>
      </w:r>
      <w:r>
        <w:rPr>
          <w:rFonts w:hint="eastAsia" w:ascii="宋体" w:hAnsi="宋体"/>
          <w:sz w:val="24"/>
          <w:lang w:val="en-US" w:eastAsia="zh-CN"/>
        </w:rPr>
        <w:t>6</w:t>
      </w:r>
      <w:r>
        <w:rPr>
          <w:rFonts w:hint="default" w:ascii="宋体" w:hAnsi="宋体"/>
          <w:sz w:val="24"/>
          <w:lang w:val="en-US" w:eastAsia="zh-CN"/>
        </w:rPr>
        <w:t>0.00%。</w:t>
      </w:r>
    </w:p>
    <w:p w14:paraId="6E49F01A">
      <w:pPr>
        <w:ind w:firstLine="480" w:firstLineChars="200"/>
        <w:rPr>
          <w:rFonts w:hint="eastAsia" w:ascii="宋体" w:hAnsi="宋体"/>
          <w:sz w:val="24"/>
        </w:rPr>
      </w:pPr>
      <w:r>
        <w:rPr>
          <w:rFonts w:hint="eastAsia" w:ascii="宋体" w:hAnsi="宋体"/>
          <w:color w:val="000000"/>
          <w:kern w:val="0"/>
          <w:sz w:val="24"/>
        </w:rPr>
        <w:t>（二）</w:t>
      </w:r>
      <w:r>
        <w:rPr>
          <w:rFonts w:hint="eastAsia" w:ascii="宋体" w:hAnsi="宋体"/>
          <w:sz w:val="24"/>
        </w:rPr>
        <w:t>支付方式：银行转账。</w:t>
      </w:r>
    </w:p>
    <w:p w14:paraId="221D3D6E">
      <w:pPr>
        <w:ind w:firstLine="480" w:firstLineChars="200"/>
        <w:rPr>
          <w:rFonts w:hint="eastAsia" w:ascii="宋体" w:hAnsi="宋体"/>
          <w:color w:val="000000"/>
          <w:kern w:val="0"/>
          <w:sz w:val="24"/>
        </w:rPr>
      </w:pPr>
      <w:r>
        <w:rPr>
          <w:rFonts w:hint="eastAsia" w:ascii="宋体" w:hAnsi="宋体"/>
          <w:color w:val="000000"/>
          <w:kern w:val="0"/>
          <w:sz w:val="24"/>
        </w:rPr>
        <w:t>（三）</w:t>
      </w:r>
      <w:r>
        <w:rPr>
          <w:rFonts w:hint="eastAsia" w:ascii="宋体" w:hAnsi="宋体"/>
          <w:sz w:val="24"/>
        </w:rPr>
        <w:t>结算方式：每次付款前乙方向甲方提供合法有效的</w:t>
      </w:r>
      <w:r>
        <w:rPr>
          <w:rFonts w:hint="eastAsia" w:ascii="宋体" w:hAnsi="宋体"/>
          <w:color w:val="000000"/>
          <w:kern w:val="0"/>
          <w:sz w:val="24"/>
          <w:lang w:val="en-US" w:eastAsia="zh-CN"/>
        </w:rPr>
        <w:t>全额增值税</w:t>
      </w:r>
      <w:r>
        <w:rPr>
          <w:rFonts w:hint="eastAsia" w:ascii="宋体" w:hAnsi="宋体"/>
          <w:sz w:val="24"/>
        </w:rPr>
        <w:t>发票。乙方持成交通知书、</w:t>
      </w:r>
      <w:r>
        <w:rPr>
          <w:rFonts w:hint="eastAsia" w:ascii="宋体" w:hAnsi="宋体"/>
          <w:sz w:val="24"/>
          <w:lang w:val="en-US" w:eastAsia="zh-CN"/>
        </w:rPr>
        <w:t>供货</w:t>
      </w:r>
      <w:r>
        <w:rPr>
          <w:rFonts w:hint="eastAsia" w:ascii="宋体" w:hAnsi="宋体"/>
          <w:sz w:val="24"/>
        </w:rPr>
        <w:t>合同、发票，与甲方结算。</w:t>
      </w:r>
    </w:p>
    <w:p w14:paraId="20A6FC67">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权利保证</w:t>
      </w:r>
    </w:p>
    <w:p w14:paraId="6E4F3B77">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1、乙方保证对其出售的货物享有合法的权利。</w:t>
      </w:r>
    </w:p>
    <w:p w14:paraId="6CC0B7B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2、乙方保证对其出售的货物上不存在任何未曾向甲方透露的担保物权，如抵押权、质押权、留置权。</w:t>
      </w:r>
    </w:p>
    <w:p w14:paraId="6BA3231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3、乙方保证对其出售的货物或其任何一部分没有侵犯第三方的专利权、版权、 商标权或其他权利。</w:t>
      </w:r>
    </w:p>
    <w:p w14:paraId="4069B93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4、如甲方在使用该货物构成上述侵权的，则由乙方承担全部责任。</w:t>
      </w:r>
    </w:p>
    <w:p w14:paraId="6AE70E52">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第六条</w:t>
      </w:r>
      <w:r>
        <w:rPr>
          <w:rFonts w:hint="eastAsia" w:ascii="宋体" w:hAnsi="宋体" w:cs="宋体"/>
          <w:b/>
          <w:bCs/>
          <w:color w:val="auto"/>
          <w:sz w:val="24"/>
          <w:szCs w:val="24"/>
          <w:highlight w:val="none"/>
        </w:rPr>
        <w:t>、合同当事人的权利和义务</w:t>
      </w:r>
    </w:p>
    <w:p w14:paraId="1C5F0ED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本合同下交付的产品必须等同或优于本项目</w:t>
      </w:r>
      <w:r>
        <w:rPr>
          <w:rFonts w:hint="eastAsia" w:ascii="宋体" w:hAnsi="宋体" w:cs="宋体"/>
          <w:color w:val="auto"/>
          <w:sz w:val="24"/>
          <w:szCs w:val="24"/>
          <w:highlight w:val="none"/>
          <w:lang w:eastAsia="zh-CN"/>
        </w:rPr>
        <w:t>采购文件</w:t>
      </w:r>
      <w:r>
        <w:rPr>
          <w:rFonts w:hint="eastAsia" w:ascii="宋体" w:hAnsi="宋体" w:cs="宋体"/>
          <w:color w:val="auto"/>
          <w:sz w:val="24"/>
          <w:szCs w:val="24"/>
          <w:highlight w:val="none"/>
        </w:rPr>
        <w:t>《采购内容及技术要求》所述的标准。若乙方在其</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中承诺的技术标准优于本项目</w:t>
      </w:r>
      <w:r>
        <w:rPr>
          <w:rFonts w:hint="eastAsia" w:ascii="宋体" w:hAnsi="宋体" w:cs="宋体"/>
          <w:color w:val="auto"/>
          <w:sz w:val="24"/>
          <w:szCs w:val="24"/>
          <w:highlight w:val="none"/>
          <w:lang w:eastAsia="zh-CN"/>
        </w:rPr>
        <w:t>采购文件</w:t>
      </w:r>
      <w:r>
        <w:rPr>
          <w:rFonts w:hint="eastAsia" w:ascii="宋体" w:hAnsi="宋体" w:cs="宋体"/>
          <w:color w:val="auto"/>
          <w:sz w:val="24"/>
          <w:szCs w:val="24"/>
          <w:highlight w:val="none"/>
        </w:rPr>
        <w:t>《采购内容及技术要求》所述标准的，按</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的承诺执行。</w:t>
      </w:r>
    </w:p>
    <w:p w14:paraId="79534B5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甲方有权通知乙方在其指定地点对货物进行检验、测试，以确认货物是否符合合同约定的质量标准，检验测试的相关费用由乙方承担。</w:t>
      </w:r>
    </w:p>
    <w:p w14:paraId="111EE989">
      <w:pPr>
        <w:keepNext w:val="0"/>
        <w:keepLines w:val="0"/>
        <w:pageBreakBefore w:val="0"/>
        <w:widowControl w:val="0"/>
        <w:kinsoku/>
        <w:wordWrap/>
        <w:overflowPunct/>
        <w:topLinePunct w:val="0"/>
        <w:autoSpaceDE/>
        <w:autoSpaceDN/>
        <w:bidi w:val="0"/>
        <w:adjustRightInd/>
        <w:snapToGrid/>
        <w:spacing w:line="384" w:lineRule="auto"/>
        <w:ind w:firstLine="240" w:firstLineChars="100"/>
        <w:textAlignment w:val="auto"/>
        <w:rPr>
          <w:rFonts w:ascii="宋体" w:cs="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检验和测试在甲方指定的交货地点进行。</w:t>
      </w:r>
      <w:bookmarkStart w:id="0" w:name="_GoBack"/>
      <w:bookmarkEnd w:id="0"/>
    </w:p>
    <w:p w14:paraId="6A8656C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如果任何被检验或测试的货物不能满足</w:t>
      </w:r>
      <w:r>
        <w:rPr>
          <w:rFonts w:hint="eastAsia" w:ascii="宋体" w:hAnsi="宋体" w:cs="宋体"/>
          <w:color w:val="auto"/>
          <w:sz w:val="24"/>
          <w:szCs w:val="24"/>
          <w:highlight w:val="none"/>
          <w:lang w:eastAsia="zh-CN"/>
        </w:rPr>
        <w:t>采购文件</w:t>
      </w:r>
      <w:r>
        <w:rPr>
          <w:rFonts w:hint="eastAsia" w:ascii="宋体" w:hAnsi="宋体" w:cs="宋体"/>
          <w:color w:val="auto"/>
          <w:sz w:val="24"/>
          <w:szCs w:val="24"/>
          <w:highlight w:val="none"/>
        </w:rPr>
        <w:t>及合同的要求，甲方可以拒绝接受该货物，乙方应更换被拒绝的货物，或者免费进行必要的修改以满足规格的要求。</w:t>
      </w:r>
    </w:p>
    <w:p w14:paraId="499B6D6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交货前，乙方应让生产商对货物的质量、规格、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934DD7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如果在货物使用寿命期内，根据检验结果，发现货物的质量或规格与合同要求不符，或被证实有缺陷，包含潜在的缺陷或使用不合适的材料，甲方应向乙方提出索赔。</w:t>
      </w:r>
    </w:p>
    <w:p w14:paraId="6969E84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乙方负责货物到达交货地点前的所有包装、运输、装卸及保险事项，相关费用应包括在合同总价中。</w:t>
      </w:r>
    </w:p>
    <w:p w14:paraId="65C77D42">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38C06DD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9</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货物的运输方式由乙方自行选择，但包装必须满足货物运输和装卸的要求，保证甲方收到的是无任何损伤的货物。否则，因此造成的损失由乙方自行承担。</w:t>
      </w:r>
    </w:p>
    <w:p w14:paraId="756CB25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10</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乙方应提供本项目</w:t>
      </w:r>
      <w:r>
        <w:rPr>
          <w:rFonts w:hint="eastAsia" w:ascii="宋体" w:hAnsi="宋体" w:cs="宋体"/>
          <w:color w:val="auto"/>
          <w:sz w:val="24"/>
          <w:szCs w:val="24"/>
          <w:highlight w:val="none"/>
          <w:lang w:eastAsia="zh-CN"/>
        </w:rPr>
        <w:t>采购文件</w:t>
      </w:r>
      <w:r>
        <w:rPr>
          <w:rFonts w:hint="eastAsia" w:ascii="宋体" w:hAnsi="宋体" w:cs="宋体"/>
          <w:color w:val="auto"/>
          <w:sz w:val="24"/>
          <w:szCs w:val="24"/>
          <w:highlight w:val="none"/>
        </w:rPr>
        <w:t>“商务条款”和“技术规格与要求”中规定的所有服务。为履行要求的伴随服务的报价或双方商定的费用应包括在合同价中。</w:t>
      </w:r>
    </w:p>
    <w:p w14:paraId="393DC5F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如果乙方或生产厂提供的伴随服务的费用未含在货物的合同价中，双方应事先就其达成协议，但其费用单价不应超过乙方向其他人提供类似服务所收取的现行单价。</w:t>
      </w:r>
    </w:p>
    <w:p w14:paraId="709D75C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4D81E6F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5FC2C456">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w:t>
      </w:r>
      <w:r>
        <w:rPr>
          <w:rFonts w:hint="eastAsia" w:ascii="宋体" w:hAnsi="宋体" w:cs="宋体"/>
          <w:color w:val="auto"/>
          <w:sz w:val="24"/>
          <w:szCs w:val="24"/>
          <w:highlight w:val="none"/>
          <w:lang w:eastAsia="zh-CN"/>
        </w:rPr>
        <w:t>采购文件</w:t>
      </w:r>
      <w:r>
        <w:rPr>
          <w:rFonts w:hint="eastAsia" w:ascii="宋体" w:hAnsi="宋体" w:cs="宋体"/>
          <w:color w:val="auto"/>
          <w:sz w:val="24"/>
          <w:szCs w:val="24"/>
          <w:highlight w:val="none"/>
        </w:rPr>
        <w:t>规定的时间内以合理的速度免费维修或更换有缺陷的货物。</w:t>
      </w:r>
    </w:p>
    <w:p w14:paraId="21671E7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w:t>
      </w:r>
      <w:r>
        <w:rPr>
          <w:rFonts w:hint="eastAsia" w:ascii="宋体" w:hAnsi="宋体" w:cs="宋体"/>
          <w:color w:val="auto"/>
          <w:sz w:val="24"/>
          <w:szCs w:val="24"/>
          <w:highlight w:val="none"/>
          <w:lang w:eastAsia="zh-CN"/>
        </w:rPr>
        <w:t>采购文件</w:t>
      </w:r>
      <w:r>
        <w:rPr>
          <w:rFonts w:hint="eastAsia" w:ascii="宋体" w:hAnsi="宋体" w:cs="宋体"/>
          <w:color w:val="auto"/>
          <w:sz w:val="24"/>
          <w:szCs w:val="24"/>
          <w:highlight w:val="none"/>
        </w:rPr>
        <w:t>规定的时间内没有及时修补缺陷，甲方可提出索赔，并可采取必要的补救措施，但其风险和费用将由乙方承担，甲方根据合同规定对乙方行使的其他权力不受影响。</w:t>
      </w:r>
    </w:p>
    <w:p w14:paraId="43C3AA9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如果乙方对偏差负有责任，而甲方在验收和质量保证期内提出了索赔，乙方应按照甲方同意的下列一种或几种方式结合起来解决索赔事宜：</w:t>
      </w:r>
    </w:p>
    <w:p w14:paraId="7DC4998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1</w:t>
      </w:r>
      <w:r>
        <w:rPr>
          <w:rFonts w:hint="eastAsia" w:ascii="宋体" w:hAnsi="宋体" w:cs="宋体"/>
          <w:color w:val="auto"/>
          <w:sz w:val="24"/>
          <w:szCs w:val="24"/>
          <w:highlight w:val="none"/>
        </w:rPr>
        <w:t>）乙方同意退货并用合同规定的货币将货款退还给甲方，并承担由此发生的一切损失和费用，包括利息、银行手续费、运费、保险费、检验费、仓储费、装卸费以及为看管和保护退回货物所需的其它必要费用。</w:t>
      </w:r>
    </w:p>
    <w:p w14:paraId="683AE20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2</w:t>
      </w:r>
      <w:r>
        <w:rPr>
          <w:rFonts w:hint="eastAsia" w:ascii="宋体" w:hAnsi="宋体" w:cs="宋体"/>
          <w:color w:val="auto"/>
          <w:sz w:val="24"/>
          <w:szCs w:val="24"/>
          <w:highlight w:val="none"/>
        </w:rPr>
        <w:t>）根据货物的偏差情况、损坏程度、以及甲方所遭受损失的金额，经甲乙双方商定降低货物的价格。</w:t>
      </w:r>
    </w:p>
    <w:p w14:paraId="524B583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）用符合合同规定的规格、质量和性能要求的货物来更换有缺陷的部分和</w:t>
      </w:r>
      <w:r>
        <w:rPr>
          <w:rFonts w:ascii="宋体" w:hAnsi="宋体" w:cs="宋体"/>
          <w:color w:val="auto"/>
          <w:sz w:val="24"/>
          <w:szCs w:val="24"/>
          <w:highlight w:val="none"/>
        </w:rPr>
        <w:t>/</w:t>
      </w:r>
      <w:r>
        <w:rPr>
          <w:rFonts w:hint="eastAsia" w:ascii="宋体" w:hAnsi="宋体" w:cs="宋体"/>
          <w:color w:val="auto"/>
          <w:sz w:val="24"/>
          <w:szCs w:val="24"/>
          <w:highlight w:val="none"/>
        </w:rPr>
        <w:t>或修补缺陷部分，乙方应承担一切费用和风险并负担甲方蒙受的全部直接损失费用。</w:t>
      </w:r>
    </w:p>
    <w:p w14:paraId="5D024D7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）天内，乙方未作答复，上述索赔应视为已被乙方接受。如乙方未能在甲方发出索赔通知后三十（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或甲方同意的延长期限内，按照甲方同意的上述规定的任何一种方法解决索赔事宜，甲方将从未付货款或从乙方交纳的履约保函中扣回索赔金额。若索赔金额超过未付货款或履约保函的，乙方必须用已收货款进行弥补。</w:t>
      </w:r>
    </w:p>
    <w:p w14:paraId="384A95B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58775AA0">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第七条</w:t>
      </w:r>
      <w:r>
        <w:rPr>
          <w:rFonts w:hint="eastAsia" w:ascii="宋体" w:hAnsi="宋体" w:cs="宋体"/>
          <w:b/>
          <w:bCs/>
          <w:color w:val="auto"/>
          <w:sz w:val="24"/>
          <w:szCs w:val="24"/>
          <w:highlight w:val="none"/>
        </w:rPr>
        <w:t>、售后服务</w:t>
      </w:r>
    </w:p>
    <w:p w14:paraId="79CD171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1.合同后</w:t>
      </w:r>
      <w:r>
        <w:rPr>
          <w:rFonts w:hint="eastAsia" w:ascii="宋体" w:hAnsi="宋体" w:eastAsia="宋体" w:cs="宋体"/>
          <w:color w:val="auto"/>
          <w:sz w:val="24"/>
          <w:szCs w:val="24"/>
          <w:highlight w:val="none"/>
        </w:rPr>
        <w:t>附成交人售后服务承诺</w:t>
      </w:r>
    </w:p>
    <w:p w14:paraId="724CD1E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同一主要部件出现质量问题经过两次维修后仍无法正常使用，可以更换同型号、同规格的产品；</w:t>
      </w:r>
    </w:p>
    <w:p w14:paraId="531D516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30天内，如出现质量问题，可以选择换货或退货；</w:t>
      </w:r>
    </w:p>
    <w:p w14:paraId="5DE87CC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30天至60天内，如出现质量问题，可选择换货。</w:t>
      </w:r>
    </w:p>
    <w:p w14:paraId="2018390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发生质量问题，接到采购人通知后：</w:t>
      </w:r>
    </w:p>
    <w:p w14:paraId="1B28CE2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（1）服务响应时间不超过2小时，明确解决问题方案不超过2小时；</w:t>
      </w:r>
    </w:p>
    <w:p w14:paraId="10DD3EA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（2）应于当日2小时内派出专业的维修人员到现场进行检测维修，发生的全部费用由成交供应商承担，若需送回生产厂家，成交供应商承担往返费用；</w:t>
      </w:r>
    </w:p>
    <w:p w14:paraId="006A75D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（3）排除故障的期限不得超过2个工作日，否则采购人有权指定第三方维修，维修费用由成交供应商承担。</w:t>
      </w:r>
    </w:p>
    <w:p w14:paraId="429C2D40">
      <w:pPr>
        <w:keepNext w:val="0"/>
        <w:keepLines w:val="0"/>
        <w:pageBreakBefore w:val="0"/>
        <w:widowControl w:val="0"/>
        <w:kinsoku/>
        <w:wordWrap/>
        <w:overflowPunct/>
        <w:topLinePunct w:val="0"/>
        <w:autoSpaceDE/>
        <w:autoSpaceDN/>
        <w:bidi w:val="0"/>
        <w:adjustRightInd/>
        <w:snapToGrid/>
        <w:spacing w:line="384" w:lineRule="auto"/>
        <w:textAlignment w:val="auto"/>
        <w:rPr>
          <w:rFonts w:ascii="宋体" w:cs="宋体"/>
          <w:b/>
          <w:bCs/>
          <w:color w:val="auto"/>
          <w:sz w:val="24"/>
          <w:szCs w:val="24"/>
          <w:highlight w:val="none"/>
        </w:rPr>
      </w:pPr>
      <w:r>
        <w:rPr>
          <w:rFonts w:hint="eastAsia" w:ascii="宋体" w:hAnsi="宋体" w:cs="宋体"/>
          <w:b/>
          <w:bCs/>
          <w:color w:val="auto"/>
          <w:sz w:val="24"/>
          <w:szCs w:val="24"/>
          <w:highlight w:val="none"/>
          <w:lang w:eastAsia="zh-CN"/>
        </w:rPr>
        <w:t>第八条</w:t>
      </w:r>
      <w:r>
        <w:rPr>
          <w:rFonts w:hint="eastAsia" w:ascii="宋体" w:hAnsi="宋体" w:cs="宋体"/>
          <w:b/>
          <w:bCs/>
          <w:color w:val="auto"/>
          <w:sz w:val="24"/>
          <w:szCs w:val="24"/>
          <w:highlight w:val="none"/>
        </w:rPr>
        <w:t>、质量保证</w:t>
      </w:r>
    </w:p>
    <w:p w14:paraId="68382F3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质量保证</w:t>
      </w:r>
      <w:r>
        <w:rPr>
          <w:rFonts w:hint="eastAsia" w:ascii="宋体" w:hAnsi="宋体" w:eastAsia="宋体" w:cs="宋体"/>
          <w:color w:val="auto"/>
          <w:sz w:val="24"/>
          <w:szCs w:val="24"/>
          <w:highlight w:val="none"/>
        </w:rPr>
        <w:t>期为终验合格之日起</w:t>
      </w:r>
      <w:r>
        <w:rPr>
          <w:rFonts w:hint="eastAsia" w:ascii="宋体" w:hAnsi="宋体" w:eastAsia="宋体" w:cs="宋体"/>
          <w:color w:val="auto"/>
          <w:sz w:val="24"/>
          <w:szCs w:val="24"/>
          <w:highlight w:val="none"/>
          <w:u w:val="single"/>
        </w:rPr>
        <w:t xml:space="preserve"> 12 </w:t>
      </w:r>
      <w:r>
        <w:rPr>
          <w:rFonts w:hint="eastAsia" w:ascii="宋体" w:hAnsi="宋体" w:eastAsia="宋体" w:cs="宋体"/>
          <w:color w:val="auto"/>
          <w:sz w:val="24"/>
          <w:szCs w:val="24"/>
          <w:highlight w:val="none"/>
        </w:rPr>
        <w:t>个月。</w:t>
      </w:r>
    </w:p>
    <w:p w14:paraId="41FBE9F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产品。乙方应保证其货物在正常使用和保养条件下，在其使用寿命期内应具有满意的性能。在货物的质量保证期内，乙方对由于设计、工艺或材料的缺陷而产生的故障负责。</w:t>
      </w:r>
    </w:p>
    <w:p w14:paraId="244DBBF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29B41CD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乙方收到通知后应在谈判文件规定的时间内以合理的速度免费维修或更换有缺陷的货物或部件。</w:t>
      </w:r>
    </w:p>
    <w:p w14:paraId="12C2A4B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如果乙方收到通知后在谈判文件规定的时间内没有及时修补缺陷，甲方可提出索赔，并可采取必要的补救措施，但其风险和费用将由乙方承担，甲方根据合同规定对乙方行使的其他权力不受影响。</w:t>
      </w:r>
    </w:p>
    <w:p w14:paraId="657223B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第九条</w:t>
      </w:r>
      <w:r>
        <w:rPr>
          <w:rFonts w:hint="eastAsia" w:ascii="宋体" w:hAnsi="宋体" w:eastAsia="宋体" w:cs="宋体"/>
          <w:b/>
          <w:bCs/>
          <w:color w:val="auto"/>
          <w:sz w:val="24"/>
          <w:szCs w:val="24"/>
          <w:highlight w:val="none"/>
        </w:rPr>
        <w:t>、违约责任及赔偿损失的计算办法</w:t>
      </w:r>
    </w:p>
    <w:p w14:paraId="7E20193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如乙方事先未征得甲方书面同意而单方面延迟完成项目的，每逾期一日按照合同总价款的万分之五承担违约责任；乙方逾期累计</w:t>
      </w:r>
      <w:r>
        <w:rPr>
          <w:rFonts w:ascii="宋体" w:hAnsi="宋体"/>
          <w:color w:val="auto"/>
          <w:sz w:val="24"/>
          <w:szCs w:val="24"/>
          <w:highlight w:val="none"/>
        </w:rPr>
        <w:t>15</w:t>
      </w:r>
      <w:r>
        <w:rPr>
          <w:rFonts w:hint="eastAsia" w:ascii="宋体" w:hAnsi="宋体"/>
          <w:color w:val="auto"/>
          <w:sz w:val="24"/>
          <w:szCs w:val="24"/>
          <w:highlight w:val="none"/>
        </w:rPr>
        <w:t>天以上的，甲方有权解除合同</w:t>
      </w:r>
      <w:r>
        <w:rPr>
          <w:rFonts w:ascii="宋体"/>
          <w:color w:val="auto"/>
          <w:sz w:val="24"/>
          <w:szCs w:val="24"/>
          <w:highlight w:val="none"/>
        </w:rPr>
        <w:t>,</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5464FA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乙方所供主要硬件或软件不符合</w:t>
      </w:r>
      <w:r>
        <w:rPr>
          <w:rFonts w:hint="eastAsia" w:ascii="宋体" w:hAnsi="宋体"/>
          <w:color w:val="auto"/>
          <w:sz w:val="24"/>
          <w:szCs w:val="24"/>
          <w:highlight w:val="none"/>
          <w:lang w:eastAsia="zh-CN"/>
        </w:rPr>
        <w:t>采购文件</w:t>
      </w:r>
      <w:r>
        <w:rPr>
          <w:rFonts w:hint="eastAsia" w:ascii="宋体" w:hAnsi="宋体"/>
          <w:color w:val="auto"/>
          <w:sz w:val="24"/>
          <w:szCs w:val="24"/>
          <w:highlight w:val="none"/>
        </w:rPr>
        <w:t>规定或不合格的或本项目不能通过验收的，甲方有权解除合同，同时甲方有权扣除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，并要求其承担合同总价款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5EBDD09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部分产品不合格的，甲方有权要求乙方在指定期间内免费更换，乙方拒不更换的，甲方有权自行或委托第三方购买设备，但产品供应费、运输费等全部费用由乙方承担。上述费用从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中扣除，不足部分由乙方承担。同时乙方应在三日内补足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w:t>
      </w:r>
    </w:p>
    <w:p w14:paraId="3D99F72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4</w:t>
      </w:r>
      <w:r>
        <w:rPr>
          <w:rFonts w:hint="eastAsia" w:ascii="宋体" w:hAnsi="宋体"/>
          <w:color w:val="auto"/>
          <w:sz w:val="24"/>
          <w:szCs w:val="24"/>
          <w:highlight w:val="none"/>
        </w:rPr>
        <w:t>．质保期内乙方未按照</w:t>
      </w:r>
      <w:r>
        <w:rPr>
          <w:rFonts w:hint="eastAsia" w:ascii="宋体" w:hAnsi="宋体"/>
          <w:color w:val="auto"/>
          <w:sz w:val="24"/>
          <w:szCs w:val="24"/>
          <w:highlight w:val="none"/>
          <w:lang w:eastAsia="zh-CN"/>
        </w:rPr>
        <w:t>采购文件</w:t>
      </w:r>
      <w:r>
        <w:rPr>
          <w:rFonts w:hint="eastAsia" w:ascii="宋体" w:hAnsi="宋体"/>
          <w:color w:val="auto"/>
          <w:sz w:val="24"/>
          <w:szCs w:val="24"/>
          <w:highlight w:val="none"/>
        </w:rPr>
        <w:t>、</w:t>
      </w:r>
      <w:r>
        <w:rPr>
          <w:rFonts w:hint="eastAsia" w:ascii="宋体" w:hAnsi="宋体"/>
          <w:color w:val="auto"/>
          <w:sz w:val="24"/>
          <w:szCs w:val="24"/>
          <w:highlight w:val="none"/>
          <w:lang w:eastAsia="zh-CN"/>
        </w:rPr>
        <w:t>响应文件</w:t>
      </w:r>
      <w:r>
        <w:rPr>
          <w:rFonts w:hint="eastAsia" w:ascii="宋体" w:hAnsi="宋体"/>
          <w:color w:val="auto"/>
          <w:sz w:val="24"/>
          <w:szCs w:val="24"/>
          <w:highlight w:val="none"/>
        </w:rPr>
        <w:t>规定及合同约定提供维保服务的，甲方有权指定第三方提供维保服务，但第三方维修费、交通费、人工费等全部费用由乙方承担。上述相关费用从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不足的，乙方应在三日内补足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w:t>
      </w:r>
    </w:p>
    <w:p w14:paraId="1913C83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．因乙方提供的硬件、软件等服务侵害他人权利，乙方应承担全部赔偿责任，甲方有权解除合同</w:t>
      </w:r>
      <w:r>
        <w:rPr>
          <w:rFonts w:ascii="宋体" w:hAnsi="宋体"/>
          <w:color w:val="auto"/>
          <w:sz w:val="24"/>
          <w:szCs w:val="24"/>
          <w:highlight w:val="none"/>
        </w:rPr>
        <w:t xml:space="preserve">, </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A1DCB9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6</w:t>
      </w:r>
      <w:r>
        <w:rPr>
          <w:rFonts w:hint="eastAsia" w:ascii="宋体" w:hAnsi="宋体"/>
          <w:color w:val="auto"/>
          <w:sz w:val="24"/>
          <w:szCs w:val="24"/>
          <w:highlight w:val="none"/>
        </w:rPr>
        <w:t>．乙方在提供服务过程中造成他人损害的，由乙方承担全部责任。</w:t>
      </w:r>
    </w:p>
    <w:p w14:paraId="50AEBCF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7</w:t>
      </w:r>
      <w:r>
        <w:rPr>
          <w:rFonts w:hint="eastAsia" w:ascii="宋体" w:hAnsi="宋体"/>
          <w:color w:val="auto"/>
          <w:sz w:val="24"/>
          <w:szCs w:val="24"/>
          <w:highlight w:val="none"/>
        </w:rPr>
        <w:t>．因乙方的原因，合同无法履行的，甲方有权解除合同，乙方应在收到解除通知后</w:t>
      </w:r>
      <w:r>
        <w:rPr>
          <w:rFonts w:ascii="宋体" w:hAnsi="宋体"/>
          <w:color w:val="auto"/>
          <w:sz w:val="24"/>
          <w:szCs w:val="24"/>
          <w:highlight w:val="none"/>
        </w:rPr>
        <w:t>7</w:t>
      </w:r>
      <w:r>
        <w:rPr>
          <w:rFonts w:hint="eastAsia" w:ascii="宋体" w:hAnsi="宋体"/>
          <w:color w:val="auto"/>
          <w:sz w:val="24"/>
          <w:szCs w:val="24"/>
          <w:highlight w:val="none"/>
        </w:rPr>
        <w:t>天内退还已收取的所有款项并承担合同总价款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9B3B12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8</w:t>
      </w:r>
      <w:r>
        <w:rPr>
          <w:rFonts w:hint="eastAsia" w:ascii="宋体" w:hAnsi="宋体"/>
          <w:color w:val="auto"/>
          <w:sz w:val="24"/>
          <w:szCs w:val="24"/>
          <w:highlight w:val="none"/>
        </w:rPr>
        <w:t>．甲方应当将乙方违约的情况以及拟采取的措施以书面形式报政府采购监管部门，根据政府采购监管部门的处理意见，甲方有权要求乙方承担违约责任。同时，政府采购监管部门有权依据</w:t>
      </w:r>
      <w:r>
        <w:rPr>
          <w:rFonts w:ascii="宋体" w:hAnsi="宋体"/>
          <w:color w:val="auto"/>
          <w:sz w:val="24"/>
          <w:szCs w:val="24"/>
          <w:highlight w:val="none"/>
        </w:rPr>
        <w:t xml:space="preserve"> </w:t>
      </w:r>
      <w:r>
        <w:rPr>
          <w:rFonts w:hint="eastAsia" w:ascii="宋体" w:hAnsi="宋体"/>
          <w:color w:val="auto"/>
          <w:sz w:val="24"/>
          <w:szCs w:val="24"/>
          <w:highlight w:val="none"/>
        </w:rPr>
        <w:t>《政府采购法》及相关法律法规对乙方的违法行为进行相应的处罚。</w:t>
      </w:r>
    </w:p>
    <w:p w14:paraId="4074B72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9</w:t>
      </w:r>
      <w:r>
        <w:rPr>
          <w:rFonts w:hint="eastAsia" w:ascii="宋体" w:hAnsi="宋体"/>
          <w:color w:val="auto"/>
          <w:sz w:val="24"/>
          <w:szCs w:val="24"/>
          <w:highlight w:val="none"/>
        </w:rPr>
        <w:t>．乙方违反其他合同条款的，应承担合同总价款</w:t>
      </w:r>
      <w:r>
        <w:rPr>
          <w:rFonts w:ascii="宋体" w:hAnsi="宋体"/>
          <w:color w:val="auto"/>
          <w:sz w:val="24"/>
          <w:szCs w:val="24"/>
          <w:highlight w:val="none"/>
        </w:rPr>
        <w:t>30%</w:t>
      </w:r>
      <w:r>
        <w:rPr>
          <w:rFonts w:hint="eastAsia" w:ascii="宋体" w:hAnsi="宋体"/>
          <w:color w:val="auto"/>
          <w:sz w:val="24"/>
          <w:szCs w:val="24"/>
          <w:highlight w:val="none"/>
        </w:rPr>
        <w:t>的违约责任，对甲方造成损失的，乙方应承担赔偿责任（包括但不限于实际损失、可预期损失及律师费）。</w:t>
      </w:r>
    </w:p>
    <w:p w14:paraId="00F7AA1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．上述约定的违约条款可合并适用，合并适用后仍不能弥补甲方损失的，甲方有权继续追偿。</w:t>
      </w:r>
    </w:p>
    <w:p w14:paraId="3EFBB21D">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lang w:eastAsia="zh-CN"/>
        </w:rPr>
        <w:t>第十条</w:t>
      </w:r>
      <w:r>
        <w:rPr>
          <w:rFonts w:hint="eastAsia" w:ascii="宋体" w:hAnsi="宋体" w:cs="宋体"/>
          <w:b/>
          <w:bCs/>
          <w:color w:val="auto"/>
          <w:sz w:val="24"/>
          <w:szCs w:val="24"/>
          <w:highlight w:val="none"/>
        </w:rPr>
        <w:t>、合同变更、解除及终止的条件</w:t>
      </w:r>
    </w:p>
    <w:p w14:paraId="1F66CB4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.1本合同在执行过程中，如合同一方提出修改，须报政府采购管理部门同意后，由甲、乙双方签署书面修改协议，并成为本合同不可分割的一部分。除此之外，本合同的条件不得有任何变化或修改。</w:t>
      </w:r>
    </w:p>
    <w:p w14:paraId="77DE981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.2有下述情形之一，当事人可发出书面通知全部或部分地解除合同，合同自通知到达对方时全部或部分地解除：</w:t>
      </w:r>
    </w:p>
    <w:p w14:paraId="687FE4E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（1）乙方迟延交付合同货物超过</w:t>
      </w:r>
      <w:r>
        <w:rPr>
          <w:rFonts w:hint="eastAsia" w:ascii="宋体" w:hAnsi="宋体" w:cs="宋体"/>
          <w:b/>
          <w:bCs/>
          <w:color w:val="auto"/>
          <w:sz w:val="24"/>
          <w:szCs w:val="24"/>
          <w:highlight w:val="none"/>
          <w:u w:val="single"/>
        </w:rPr>
        <w:t>1个月</w:t>
      </w:r>
      <w:r>
        <w:rPr>
          <w:rFonts w:hint="eastAsia" w:ascii="宋体" w:hAnsi="宋体" w:cs="宋体"/>
          <w:color w:val="auto"/>
          <w:sz w:val="24"/>
          <w:szCs w:val="24"/>
          <w:highlight w:val="none"/>
        </w:rPr>
        <w:t>；</w:t>
      </w:r>
    </w:p>
    <w:p w14:paraId="66A4A692">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453407F6">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（3）甲方迟延付款超过</w:t>
      </w:r>
      <w:r>
        <w:rPr>
          <w:rFonts w:hint="eastAsia" w:ascii="宋体" w:hAnsi="宋体" w:cs="宋体"/>
          <w:b/>
          <w:bCs/>
          <w:color w:val="auto"/>
          <w:sz w:val="24"/>
          <w:szCs w:val="24"/>
          <w:highlight w:val="none"/>
          <w:u w:val="single"/>
        </w:rPr>
        <w:t>2个月</w:t>
      </w:r>
      <w:r>
        <w:rPr>
          <w:rFonts w:hint="eastAsia" w:ascii="宋体" w:hAnsi="宋体" w:cs="宋体"/>
          <w:color w:val="auto"/>
          <w:sz w:val="24"/>
          <w:szCs w:val="24"/>
          <w:highlight w:val="none"/>
        </w:rPr>
        <w:t>；</w:t>
      </w:r>
    </w:p>
    <w:p w14:paraId="27E32E7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cs="宋体"/>
          <w:b/>
          <w:bCs/>
          <w:color w:val="auto"/>
          <w:sz w:val="24"/>
          <w:szCs w:val="24"/>
          <w:highlight w:val="none"/>
          <w:u w:val="single"/>
        </w:rPr>
        <w:t xml:space="preserve"> 15 </w:t>
      </w:r>
      <w:r>
        <w:rPr>
          <w:rFonts w:hint="eastAsia" w:ascii="宋体" w:hAnsi="宋体" w:cs="宋体"/>
          <w:color w:val="auto"/>
          <w:sz w:val="24"/>
          <w:szCs w:val="24"/>
          <w:highlight w:val="none"/>
        </w:rPr>
        <w:t>日内未能对其行为作出补救；</w:t>
      </w:r>
    </w:p>
    <w:p w14:paraId="7027F1D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（5）合同一方当事人出现破产、清算、资不抵债、成为失信被执行人等可能丧失履约能力的情形，且未能提供令对方满意的履约保证金。</w:t>
      </w:r>
    </w:p>
    <w:p w14:paraId="51B66C3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.3在乙方违约的情况下，甲方报告政府采购管理部门后，有权终止合同，并依法向乙方进行索赔实际损失(包括但不限于维权所支出的律师费、诉讼费、交通费等)。</w:t>
      </w:r>
    </w:p>
    <w:p w14:paraId="7D375BBF">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第十一条</w:t>
      </w:r>
      <w:r>
        <w:rPr>
          <w:rFonts w:hint="eastAsia" w:ascii="宋体" w:hAnsi="宋体" w:cs="宋体"/>
          <w:b/>
          <w:bCs/>
          <w:color w:val="auto"/>
          <w:sz w:val="24"/>
          <w:szCs w:val="24"/>
          <w:highlight w:val="none"/>
        </w:rPr>
        <w:t>、验收方式</w:t>
      </w:r>
    </w:p>
    <w:p w14:paraId="2FD9987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2274B594">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.2验收依据</w:t>
      </w:r>
    </w:p>
    <w:p w14:paraId="621DBBA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.2.1招标文件、响应文件、澄清表（函）；</w:t>
      </w:r>
    </w:p>
    <w:p w14:paraId="7D9B61A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.2.2本合同及附件文本；</w:t>
      </w:r>
    </w:p>
    <w:p w14:paraId="3BC6C196">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.2.3合同签订时国家及行业现行的标准和技术规范。</w:t>
      </w:r>
    </w:p>
    <w:p w14:paraId="78840ED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.3成交供应商应向采购人提交项目实施过程中的所有资料，以便采购人日后管理和维护。</w:t>
      </w:r>
    </w:p>
    <w:p w14:paraId="09DBC8B4">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.4鉴定和验收费用，由乙方承担。</w:t>
      </w:r>
    </w:p>
    <w:p w14:paraId="3A0E3EB3">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第十二条</w:t>
      </w:r>
      <w:r>
        <w:rPr>
          <w:rFonts w:hint="eastAsia" w:ascii="宋体" w:hAnsi="宋体" w:cs="宋体"/>
          <w:b/>
          <w:bCs/>
          <w:color w:val="auto"/>
          <w:sz w:val="24"/>
          <w:szCs w:val="24"/>
          <w:highlight w:val="none"/>
        </w:rPr>
        <w:t>、保密约定</w:t>
      </w:r>
    </w:p>
    <w:p w14:paraId="07D2BDE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.1合同双方应对因履行合同而取得的另一方当事人的信息、资料等予以保密。未经另一方当事人书面同意，任何一方均不得为与履行合同无关的目的使用或向第三方披露另一方当事人提供的信息、资料。</w:t>
      </w:r>
    </w:p>
    <w:p w14:paraId="167E436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.2合同当事人的保密义务不适用于下列信息：</w:t>
      </w:r>
    </w:p>
    <w:p w14:paraId="31E4B5C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（1）非因接受信息一方的过失现在或以后进入公共领域的信息；</w:t>
      </w:r>
    </w:p>
    <w:p w14:paraId="7544BDF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（2）接受信息一方当事人合法地从第三方获得并且据其善意了解第三方也不对此承担保密义务的信息；</w:t>
      </w:r>
    </w:p>
    <w:p w14:paraId="440CD28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（3）法律或法律的执行要求披露的信息。</w:t>
      </w:r>
    </w:p>
    <w:p w14:paraId="3E1501D7">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第十三条</w:t>
      </w:r>
      <w:r>
        <w:rPr>
          <w:rFonts w:hint="eastAsia" w:ascii="宋体" w:hAnsi="宋体" w:cs="宋体"/>
          <w:b/>
          <w:bCs/>
          <w:color w:val="auto"/>
          <w:sz w:val="24"/>
          <w:szCs w:val="24"/>
          <w:highlight w:val="none"/>
        </w:rPr>
        <w:t>、合同争议解决方式</w:t>
      </w:r>
    </w:p>
    <w:p w14:paraId="1923C09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因执行本合同所发生的或与本合同有关的一切争议,双方应通过友好协商解决，协商不成的可依法</w:t>
      </w:r>
      <w:r>
        <w:rPr>
          <w:color w:val="auto"/>
          <w:sz w:val="24"/>
          <w:szCs w:val="24"/>
          <w:highlight w:val="none"/>
        </w:rPr>
        <w:t>向有管辖权的人民法院提起诉讼</w:t>
      </w:r>
      <w:r>
        <w:rPr>
          <w:rFonts w:hint="eastAsia" w:ascii="宋体" w:hAnsi="宋体" w:cs="宋体"/>
          <w:color w:val="auto"/>
          <w:sz w:val="24"/>
          <w:szCs w:val="24"/>
          <w:highlight w:val="none"/>
        </w:rPr>
        <w:t>。</w:t>
      </w:r>
    </w:p>
    <w:p w14:paraId="6EDA3AE7">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第十四条</w:t>
      </w:r>
      <w:r>
        <w:rPr>
          <w:rFonts w:hint="eastAsia" w:ascii="宋体" w:hAnsi="宋体" w:cs="宋体"/>
          <w:b/>
          <w:bCs/>
          <w:color w:val="auto"/>
          <w:sz w:val="24"/>
          <w:szCs w:val="24"/>
          <w:highlight w:val="none"/>
        </w:rPr>
        <w:t>、不可抗力情况下的免责约定</w:t>
      </w:r>
    </w:p>
    <w:p w14:paraId="6339970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0F99817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.2受不可抗力事件影响的一方当事人对于不可抗力事件导致的任何合同义务的迟延履行或不能履行不承担违约责任。但该方当事人应尽快将不可抗力事件结束或消除的情况通知另一方当事人。</w:t>
      </w:r>
    </w:p>
    <w:p w14:paraId="24A36773">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.3双方当事人应在不可抗力事件结束或其影响消除后立即继续履行其合同义务，合同期限也应相应顺延。如果不可抗力事件的影响持续超过</w:t>
      </w:r>
      <w:r>
        <w:rPr>
          <w:rFonts w:hint="eastAsia" w:ascii="宋体" w:hAnsi="宋体" w:cs="宋体"/>
          <w:b/>
          <w:bCs/>
          <w:color w:val="auto"/>
          <w:sz w:val="24"/>
          <w:szCs w:val="24"/>
          <w:highlight w:val="none"/>
          <w:u w:val="single"/>
        </w:rPr>
        <w:t xml:space="preserve"> 90 </w:t>
      </w:r>
      <w:r>
        <w:rPr>
          <w:rFonts w:hint="eastAsia" w:ascii="宋体" w:hAnsi="宋体" w:cs="宋体"/>
          <w:color w:val="auto"/>
          <w:sz w:val="24"/>
          <w:szCs w:val="24"/>
          <w:highlight w:val="none"/>
        </w:rPr>
        <w:t>日，则任何一方当事人均有权以书面通知解除合同。</w:t>
      </w:r>
    </w:p>
    <w:p w14:paraId="22B0EB80">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第十五条</w:t>
      </w:r>
      <w:r>
        <w:rPr>
          <w:rFonts w:hint="eastAsia" w:ascii="宋体" w:hAnsi="宋体" w:cs="宋体"/>
          <w:b/>
          <w:bCs/>
          <w:color w:val="auto"/>
          <w:sz w:val="24"/>
          <w:szCs w:val="24"/>
          <w:highlight w:val="none"/>
        </w:rPr>
        <w:t>、生效条件、订立日期</w:t>
      </w:r>
    </w:p>
    <w:p w14:paraId="30998A1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.1本合同自签订之日起生效。</w:t>
      </w:r>
    </w:p>
    <w:p w14:paraId="0C90927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.2合同一式</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份，采购人、成交供应商各执</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w:t>
      </w:r>
      <w:r>
        <w:rPr>
          <w:rFonts w:hint="eastAsia" w:ascii="宋体" w:hAnsi="宋体" w:cs="宋体"/>
          <w:color w:val="auto"/>
          <w:sz w:val="24"/>
          <w:szCs w:val="24"/>
          <w:highlight w:val="none"/>
          <w:lang w:eastAsia="zh-CN"/>
        </w:rPr>
        <w:t>。</w:t>
      </w:r>
    </w:p>
    <w:p w14:paraId="0E94394E">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.3如本合同有未尽事宜，以招标文件为准，招标文件未做要求的，由双方依法订立补充合同。</w:t>
      </w:r>
    </w:p>
    <w:p w14:paraId="693F8FEE">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w:t>
      </w:r>
      <w:r>
        <w:rPr>
          <w:rFonts w:hint="eastAsia" w:ascii="宋体" w:hAnsi="宋体" w:cs="宋体"/>
          <w:b/>
          <w:bCs/>
          <w:color w:val="auto"/>
          <w:sz w:val="24"/>
          <w:szCs w:val="24"/>
          <w:highlight w:val="none"/>
        </w:rPr>
        <w:t>十</w:t>
      </w:r>
      <w:r>
        <w:rPr>
          <w:rFonts w:hint="eastAsia" w:ascii="宋体" w:hAnsi="宋体" w:cs="宋体"/>
          <w:b/>
          <w:bCs/>
          <w:color w:val="auto"/>
          <w:sz w:val="24"/>
          <w:szCs w:val="24"/>
          <w:highlight w:val="none"/>
          <w:lang w:val="en-US" w:eastAsia="zh-CN"/>
        </w:rPr>
        <w:t>六条</w:t>
      </w:r>
      <w:r>
        <w:rPr>
          <w:rFonts w:hint="eastAsia" w:ascii="宋体" w:hAnsi="宋体" w:cs="宋体"/>
          <w:b/>
          <w:bCs/>
          <w:color w:val="auto"/>
          <w:sz w:val="24"/>
          <w:szCs w:val="24"/>
          <w:highlight w:val="none"/>
        </w:rPr>
        <w:t>、其他事项</w:t>
      </w:r>
    </w:p>
    <w:p w14:paraId="4C8EA75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合同其他事项双方另行协商补充：</w:t>
      </w:r>
      <w:r>
        <w:rPr>
          <w:rFonts w:hint="eastAsia" w:ascii="宋体" w:hAnsi="宋体" w:cs="宋体"/>
          <w:color w:val="auto"/>
          <w:sz w:val="24"/>
          <w:szCs w:val="24"/>
          <w:highlight w:val="none"/>
          <w:u w:val="single"/>
        </w:rPr>
        <w:t xml:space="preserve">                /                   </w:t>
      </w:r>
    </w:p>
    <w:p w14:paraId="3B4A1A87">
      <w:pPr>
        <w:pStyle w:val="3"/>
        <w:rPr>
          <w:rFonts w:hint="eastAsia"/>
          <w:highlight w:val="none"/>
        </w:rPr>
      </w:pPr>
    </w:p>
    <w:tbl>
      <w:tblPr>
        <w:tblStyle w:val="4"/>
        <w:tblW w:w="4869"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61"/>
        <w:gridCol w:w="3838"/>
      </w:tblGrid>
      <w:tr w14:paraId="380590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4950A2D1">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甲  方</w:t>
            </w:r>
          </w:p>
        </w:tc>
        <w:tc>
          <w:tcPr>
            <w:tcW w:w="2312" w:type="pct"/>
            <w:tcBorders>
              <w:tl2br w:val="nil"/>
              <w:tr2bl w:val="nil"/>
            </w:tcBorders>
            <w:noWrap/>
            <w:vAlign w:val="center"/>
          </w:tcPr>
          <w:p w14:paraId="72F25CB0">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乙  方</w:t>
            </w:r>
          </w:p>
        </w:tc>
      </w:tr>
      <w:tr w14:paraId="1F3671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687" w:type="pct"/>
            <w:tcBorders>
              <w:tl2br w:val="nil"/>
              <w:tr2bl w:val="nil"/>
            </w:tcBorders>
            <w:noWrap/>
            <w:vAlign w:val="center"/>
          </w:tcPr>
          <w:p w14:paraId="6ACB4525">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c>
          <w:tcPr>
            <w:tcW w:w="2312" w:type="pct"/>
            <w:tcBorders>
              <w:tl2br w:val="nil"/>
              <w:tr2bl w:val="nil"/>
            </w:tcBorders>
            <w:noWrap/>
            <w:vAlign w:val="center"/>
          </w:tcPr>
          <w:p w14:paraId="2E04B235">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r>
      <w:tr w14:paraId="4334E8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687" w:type="pct"/>
            <w:tcBorders>
              <w:tl2br w:val="nil"/>
              <w:tr2bl w:val="nil"/>
            </w:tcBorders>
            <w:noWrap/>
            <w:vAlign w:val="center"/>
          </w:tcPr>
          <w:p w14:paraId="3C10632C">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eastAsia="宋体" w:cs="宋体"/>
                <w:bCs/>
                <w:color w:val="auto"/>
                <w:sz w:val="24"/>
                <w:szCs w:val="24"/>
                <w:highlight w:val="none"/>
              </w:rPr>
              <w:t>地址：</w:t>
            </w:r>
          </w:p>
        </w:tc>
        <w:tc>
          <w:tcPr>
            <w:tcW w:w="2312" w:type="pct"/>
            <w:tcBorders>
              <w:tl2br w:val="nil"/>
              <w:tr2bl w:val="nil"/>
            </w:tcBorders>
            <w:noWrap/>
            <w:vAlign w:val="top"/>
          </w:tcPr>
          <w:p w14:paraId="3D9A7954">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地址：</w:t>
            </w:r>
          </w:p>
        </w:tc>
      </w:tr>
      <w:tr w14:paraId="125B3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673C3262">
            <w:pPr>
              <w:autoSpaceDE w:val="0"/>
              <w:autoSpaceDN w:val="0"/>
              <w:adjustRightInd w:val="0"/>
              <w:spacing w:line="360" w:lineRule="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邮编：</w:t>
            </w:r>
            <w:r>
              <w:rPr>
                <w:rFonts w:hint="eastAsia" w:ascii="宋体" w:hAnsi="宋体" w:cs="宋体"/>
                <w:bCs/>
                <w:color w:val="auto"/>
                <w:sz w:val="24"/>
                <w:szCs w:val="24"/>
                <w:highlight w:val="none"/>
                <w:lang w:val="en-US" w:eastAsia="zh-CN"/>
              </w:rPr>
              <w:t xml:space="preserve"> </w:t>
            </w:r>
          </w:p>
        </w:tc>
        <w:tc>
          <w:tcPr>
            <w:tcW w:w="2312" w:type="pct"/>
            <w:tcBorders>
              <w:tl2br w:val="nil"/>
              <w:tr2bl w:val="nil"/>
            </w:tcBorders>
            <w:noWrap/>
            <w:vAlign w:val="center"/>
          </w:tcPr>
          <w:p w14:paraId="66B8F64A">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邮编：</w:t>
            </w:r>
          </w:p>
        </w:tc>
      </w:tr>
      <w:tr w14:paraId="22E6FD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687" w:type="pct"/>
            <w:tcBorders>
              <w:tl2br w:val="nil"/>
              <w:tr2bl w:val="nil"/>
            </w:tcBorders>
            <w:noWrap/>
            <w:vAlign w:val="center"/>
          </w:tcPr>
          <w:p w14:paraId="14D05104">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2312" w:type="pct"/>
            <w:tcBorders>
              <w:tl2br w:val="nil"/>
              <w:tr2bl w:val="nil"/>
            </w:tcBorders>
            <w:noWrap/>
            <w:vAlign w:val="center"/>
          </w:tcPr>
          <w:p w14:paraId="5D6CA158">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r>
      <w:tr w14:paraId="143947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687" w:type="pct"/>
            <w:tcBorders>
              <w:tl2br w:val="nil"/>
              <w:tr2bl w:val="nil"/>
            </w:tcBorders>
            <w:noWrap/>
            <w:vAlign w:val="center"/>
          </w:tcPr>
          <w:p w14:paraId="04417299">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负责人：</w:t>
            </w:r>
          </w:p>
        </w:tc>
        <w:tc>
          <w:tcPr>
            <w:tcW w:w="2312" w:type="pct"/>
            <w:tcBorders>
              <w:tl2br w:val="nil"/>
              <w:tr2bl w:val="nil"/>
            </w:tcBorders>
            <w:noWrap/>
            <w:vAlign w:val="center"/>
          </w:tcPr>
          <w:p w14:paraId="5BEAE32C">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负责人：</w:t>
            </w:r>
          </w:p>
        </w:tc>
      </w:tr>
      <w:tr w14:paraId="6D547F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687" w:type="pct"/>
            <w:tcBorders>
              <w:tl2br w:val="nil"/>
              <w:tr2bl w:val="nil"/>
            </w:tcBorders>
            <w:noWrap/>
            <w:vAlign w:val="center"/>
          </w:tcPr>
          <w:p w14:paraId="3CDB4689">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c>
          <w:tcPr>
            <w:tcW w:w="2312" w:type="pct"/>
            <w:tcBorders>
              <w:tl2br w:val="nil"/>
              <w:tr2bl w:val="nil"/>
            </w:tcBorders>
            <w:noWrap/>
            <w:vAlign w:val="center"/>
          </w:tcPr>
          <w:p w14:paraId="2654A37A">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r>
      <w:tr w14:paraId="481845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687" w:type="pct"/>
            <w:tcBorders>
              <w:tl2br w:val="nil"/>
              <w:tr2bl w:val="nil"/>
            </w:tcBorders>
            <w:noWrap/>
            <w:vAlign w:val="center"/>
          </w:tcPr>
          <w:p w14:paraId="61E634FC">
            <w:pPr>
              <w:tabs>
                <w:tab w:val="left" w:pos="347"/>
              </w:tabs>
              <w:autoSpaceDE w:val="0"/>
              <w:autoSpaceDN w:val="0"/>
              <w:adjustRightInd w:val="0"/>
              <w:spacing w:after="0" w:line="360" w:lineRule="auto"/>
              <w:rPr>
                <w:rFonts w:hint="eastAsia" w:ascii="宋体" w:hAnsi="宋体" w:cs="宋体"/>
                <w:bCs/>
                <w:color w:val="auto"/>
                <w:sz w:val="24"/>
                <w:szCs w:val="24"/>
                <w:highlight w:val="none"/>
              </w:rPr>
            </w:pPr>
          </w:p>
        </w:tc>
        <w:tc>
          <w:tcPr>
            <w:tcW w:w="2312" w:type="pct"/>
            <w:tcBorders>
              <w:tl2br w:val="nil"/>
              <w:tr2bl w:val="nil"/>
            </w:tcBorders>
            <w:noWrap/>
            <w:vAlign w:val="top"/>
          </w:tcPr>
          <w:p w14:paraId="0E7CBB0D">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开户银行：</w:t>
            </w:r>
          </w:p>
        </w:tc>
      </w:tr>
      <w:tr w14:paraId="1B633C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687" w:type="pct"/>
            <w:tcBorders>
              <w:tl2br w:val="nil"/>
              <w:tr2bl w:val="nil"/>
            </w:tcBorders>
            <w:noWrap/>
            <w:vAlign w:val="center"/>
          </w:tcPr>
          <w:p w14:paraId="716FF723">
            <w:pPr>
              <w:tabs>
                <w:tab w:val="left" w:pos="347"/>
              </w:tabs>
              <w:autoSpaceDE w:val="0"/>
              <w:autoSpaceDN w:val="0"/>
              <w:adjustRightInd w:val="0"/>
              <w:spacing w:after="0" w:line="360" w:lineRule="auto"/>
              <w:rPr>
                <w:rFonts w:hint="eastAsia" w:ascii="宋体" w:hAnsi="宋体" w:cs="宋体"/>
                <w:bCs/>
                <w:color w:val="auto"/>
                <w:sz w:val="24"/>
                <w:szCs w:val="24"/>
                <w:highlight w:val="none"/>
              </w:rPr>
            </w:pPr>
          </w:p>
        </w:tc>
        <w:tc>
          <w:tcPr>
            <w:tcW w:w="2312" w:type="pct"/>
            <w:tcBorders>
              <w:tl2br w:val="nil"/>
              <w:tr2bl w:val="nil"/>
            </w:tcBorders>
            <w:noWrap/>
            <w:vAlign w:val="center"/>
          </w:tcPr>
          <w:p w14:paraId="1E8569E8">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账号：</w:t>
            </w:r>
          </w:p>
        </w:tc>
      </w:tr>
      <w:tr w14:paraId="537EB5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687" w:type="pct"/>
            <w:tcBorders>
              <w:tl2br w:val="nil"/>
              <w:tr2bl w:val="nil"/>
            </w:tcBorders>
            <w:noWrap/>
            <w:vAlign w:val="center"/>
          </w:tcPr>
          <w:p w14:paraId="2DAAC98A">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c>
          <w:tcPr>
            <w:tcW w:w="2312" w:type="pct"/>
            <w:tcBorders>
              <w:tl2br w:val="nil"/>
              <w:tr2bl w:val="nil"/>
            </w:tcBorders>
            <w:noWrap/>
            <w:vAlign w:val="center"/>
          </w:tcPr>
          <w:p w14:paraId="6135C763">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r>
    </w:tbl>
    <w:p w14:paraId="467CBBA1"/>
    <w:p w14:paraId="78FE3DE1">
      <w:pPr>
        <w:pStyle w:val="7"/>
        <w:rPr>
          <w:rFonts w:hint="eastAsia"/>
          <w:lang w:val="en-US" w:eastAsia="zh-Hans"/>
        </w:rPr>
      </w:pPr>
    </w:p>
    <w:p w14:paraId="4B2369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58164C"/>
    <w:rsid w:val="66581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sz w:val="28"/>
      <w:szCs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toc 1"/>
    <w:basedOn w:val="1"/>
    <w:next w:val="1"/>
    <w:qFormat/>
    <w:uiPriority w:val="39"/>
    <w:pPr>
      <w:spacing w:line="240" w:lineRule="auto"/>
    </w:pPr>
  </w:style>
  <w:style w:type="table" w:customStyle="1" w:styleId="6">
    <w:name w:val="Table Normal"/>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2025-11-27T09:09:00Z</dcterms:created>
  <dc:creator>刘菲</dc:creator>
  <cp:lastModifiedBy>刘菲</cp:lastModifiedBy>
  <dcterms:modified xsi:type="dcterms:W3CDTF">2025-11-27T09:17:43Z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8DC55A1AE90C46A7AE04D75DDC045C5B_11</vt:lpwstr>
  </property>
  <property fmtid="{D5CDD505-2E9C-101B-9397-08002B2CF9AE}" pid="4" name="KSOTemplateDocerSaveRecord">
    <vt:lpwstr>eyJoZGlkIjoiNjBjMTUwMjhmNmI2ZmVlMTBkYzRmYzI5MTBmNTk5ODUiLCJ1c2VySWQiOiIzNzMwMTc5MDgifQ==</vt:lpwstr>
  </property>
</Properties>
</file>