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版本号：SXCFY2025120520251212001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民生苑日常管护项目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SXCFY20251205</w:t>
      </w:r>
      <w:r>
        <w:br/>
      </w:r>
      <w:r>
        <w:br/>
      </w:r>
      <w:r>
        <w:br/>
      </w:r>
    </w:p>
    <w:p>
      <w:pPr>
        <w:pStyle w:val="null3"/>
        <w:jc w:val="center"/>
        <w:outlineLvl w:val="2"/>
      </w:pPr>
      <w:r>
        <w:rPr>
          <w:rFonts w:ascii="仿宋_GB2312" w:hAnsi="仿宋_GB2312" w:cs="仿宋_GB2312" w:eastAsia="仿宋_GB2312"/>
          <w:sz w:val="28"/>
          <w:b/>
        </w:rPr>
        <w:t>蒲城县城市管理执法局</w:t>
      </w:r>
    </w:p>
    <w:p>
      <w:pPr>
        <w:pStyle w:val="null3"/>
        <w:jc w:val="center"/>
        <w:outlineLvl w:val="2"/>
      </w:pPr>
      <w:r>
        <w:rPr>
          <w:rFonts w:ascii="仿宋_GB2312" w:hAnsi="仿宋_GB2312" w:cs="仿宋_GB2312" w:eastAsia="仿宋_GB2312"/>
          <w:sz w:val="28"/>
          <w:b/>
        </w:rPr>
        <w:t>陕西诚方源项目管理有限公司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陕西诚方源项目管理有限公司</w:t>
      </w:r>
      <w:r>
        <w:rPr>
          <w:rFonts w:ascii="仿宋_GB2312" w:hAnsi="仿宋_GB2312" w:cs="仿宋_GB2312" w:eastAsia="仿宋_GB2312"/>
        </w:rPr>
        <w:t>（以下简称“代理机构”）受</w:t>
      </w:r>
      <w:r>
        <w:rPr>
          <w:rFonts w:ascii="仿宋_GB2312" w:hAnsi="仿宋_GB2312" w:cs="仿宋_GB2312" w:eastAsia="仿宋_GB2312"/>
        </w:rPr>
        <w:t>蒲城县城市管理执法局</w:t>
      </w:r>
      <w:r>
        <w:rPr>
          <w:rFonts w:ascii="仿宋_GB2312" w:hAnsi="仿宋_GB2312" w:cs="仿宋_GB2312" w:eastAsia="仿宋_GB2312"/>
        </w:rPr>
        <w:t>委托，拟对</w:t>
      </w:r>
      <w:r>
        <w:rPr>
          <w:rFonts w:ascii="仿宋_GB2312" w:hAnsi="仿宋_GB2312" w:cs="仿宋_GB2312" w:eastAsia="仿宋_GB2312"/>
        </w:rPr>
        <w:t>民生苑日常管护项目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SXCFY20251205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民生苑日常管护项目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为市民营造良好、干净的公共休闲环境；负责民生苑广场内绿化及相关配套设施的日常管理工作。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采购包1（民生苑日常管护项目）：属于专门面向中小企业采购。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1、法定代表人或其授权代表：法定代表人直接参加磋商的，须出具法定代表人身份证明书；法定代表人授权代表参加磋商的，须出具法定代表人授权委托书</w:t>
      </w:r>
    </w:p>
    <w:p>
      <w:pPr>
        <w:pStyle w:val="null3"/>
      </w:pPr>
      <w:r>
        <w:rPr>
          <w:rFonts w:ascii="仿宋_GB2312" w:hAnsi="仿宋_GB2312" w:cs="仿宋_GB2312" w:eastAsia="仿宋_GB2312"/>
        </w:rPr>
        <w:t>2、信用信息：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供应商无需提供，以代理机构开标后现场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蒲城县南环路西段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蒲城县长乐路与东环路十字东北角</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0913-7206926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陕西诚方源项目管理有限公司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陕西省西安市新城区金花北路169号天彩大厦B座20层2001室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阮工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029-89339538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0913-7255613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采购包1：599,500.00元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开户名称：陕西诚方源项目管理有限公司（供应商缴纳保证金时需备注“SXCFY20251205磋商保证金”）</w:t>
            </w:r>
          </w:p>
          <w:p>
            <w:pPr>
              <w:pStyle w:val="null3"/>
            </w:pPr>
            <w:r>
              <w:rPr>
                <w:rFonts w:ascii="仿宋_GB2312" w:hAnsi="仿宋_GB2312" w:cs="仿宋_GB2312" w:eastAsia="仿宋_GB2312"/>
              </w:rPr>
              <w:t>开户银行：中信银行股份有限公司西安咸宁路支行</w:t>
            </w:r>
          </w:p>
          <w:p>
            <w:pPr>
              <w:pStyle w:val="null3"/>
            </w:pPr>
            <w:r>
              <w:rPr>
                <w:rFonts w:ascii="仿宋_GB2312" w:hAnsi="仿宋_GB2312" w:cs="仿宋_GB2312" w:eastAsia="仿宋_GB2312"/>
              </w:rPr>
              <w:t>银行账号：8111701011600592875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参照国家计委关于印发《招标代理服务收费管理暂行办法》的通知（计价格〔2002〕1980号）、《国家发展和改革委员会办公厅关于招标代理服务收费有关问题的通知》（发改办价格〔2003〕857号）规定的标准。 2、采购代理服务费账户： 公司名称：陕西诚方源项目管理有限公司 账 号: 8111701011600592875 开 户 行：中信银行股份有限公司西安咸宁路支行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蒲城县城市管理执法局</w:t>
      </w:r>
      <w:r>
        <w:rPr>
          <w:rFonts w:ascii="仿宋_GB2312" w:hAnsi="仿宋_GB2312" w:cs="仿宋_GB2312" w:eastAsia="仿宋_GB2312"/>
        </w:rPr>
        <w:t>和</w:t>
      </w:r>
      <w:r>
        <w:rPr>
          <w:rFonts w:ascii="仿宋_GB2312" w:hAnsi="仿宋_GB2312" w:cs="仿宋_GB2312" w:eastAsia="仿宋_GB2312"/>
        </w:rPr>
        <w:t>陕西诚方源项目管理有限公司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蒲城县城市管理执法局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陕西诚方源项目管理有限公司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陕西诚方源项目管理有限公司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1.验收依据：以本项目政府采购合同、磋商文件、供应商的响应文件及承诺为唯一依据。2.验收方式：采用“日常考核 +月度检查+期满综合验收”相结合的方式。（1）日常考核：采购人定期对园内卫生及管护情况进行检查巡查，发现问题现场指出并让服务企业及时整改。（2）月度检查：每月由双方共同进行一次全面检查，形成书面记录，对发现问题限期整改。（3）期满综合验收：合同期满前30日内，由采购人组织验收，并出具验收报告单。3.验收内容：（1）文件资料：日志、巡查记录、维修记录、管护记录资料等齐全、真实。（2）现场核查时卫生、绿化、 设施、秩序等符合合同约定标准。4.验收结果：由专家验收小组出具《履约验收报告》，作为付款及续签合同的关键依据。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联系人：阮工</w:t>
      </w:r>
    </w:p>
    <w:p>
      <w:pPr>
        <w:pStyle w:val="null3"/>
      </w:pPr>
      <w:r>
        <w:rPr>
          <w:rFonts w:ascii="仿宋_GB2312" w:hAnsi="仿宋_GB2312" w:cs="仿宋_GB2312" w:eastAsia="仿宋_GB2312"/>
        </w:rPr>
        <w:t>联系电话：029-89339538</w:t>
      </w:r>
    </w:p>
    <w:p>
      <w:pPr>
        <w:pStyle w:val="null3"/>
      </w:pPr>
      <w:r>
        <w:rPr>
          <w:rFonts w:ascii="仿宋_GB2312" w:hAnsi="仿宋_GB2312" w:cs="仿宋_GB2312" w:eastAsia="仿宋_GB2312"/>
        </w:rPr>
        <w:t>地址：陕西省西安市新城区金花北路169号天彩大厦B座20层2001室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为市民营造良好、干净的公共休闲环境；负责民生苑广场内绿化及相关配套设施的日常管理工作。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599,500.00</w:t>
      </w:r>
    </w:p>
    <w:p>
      <w:pPr>
        <w:pStyle w:val="null3"/>
      </w:pPr>
      <w:r>
        <w:rPr>
          <w:rFonts w:ascii="仿宋_GB2312" w:hAnsi="仿宋_GB2312" w:cs="仿宋_GB2312" w:eastAsia="仿宋_GB2312"/>
        </w:rPr>
        <w:t>采购包最高限价（元）: 599,500.00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民生苑日常管护项目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599,500.00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标的名称：民生苑日常管护项目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106"/>
                    <w:gridCol w:w="106"/>
                    <w:gridCol w:w="106"/>
                    <w:gridCol w:w="106"/>
                    <w:gridCol w:w="106"/>
                    <w:gridCol w:w="106"/>
                  </w:tblGrid>
                  <w:tr>
                    <w:tc>
                      <w:tcPr>
                        <w:tcW w:type="dxa" w:w="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期限</w:t>
                        </w:r>
                        <w:r>
                          <w:rPr>
                            <w:rFonts w:ascii="仿宋_GB2312" w:hAnsi="仿宋_GB2312" w:cs="仿宋_GB2312" w:eastAsia="仿宋_GB2312"/>
                            <w:sz w:val="20"/>
                          </w:rPr>
                          <w:t>1年</w:t>
                        </w:r>
                      </w:p>
                    </w:tc>
                    <w:tc>
                      <w:tcPr>
                        <w:tcW w:type="dxa" w:w="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服务项目数量要求（人）</w:t>
                        </w:r>
                      </w:p>
                    </w:tc>
                    <w:tc>
                      <w:tcPr>
                        <w:tcW w:type="dxa" w:w="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工作内容</w:t>
                        </w:r>
                      </w:p>
                    </w:tc>
                    <w:tc>
                      <w:tcPr>
                        <w:tcW w:type="dxa" w:w="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园内保洁</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园内卫生</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园内卫生保洁。</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电工</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园内的所有用电</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园内用电等公共安全</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病虫害防治</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3阶段</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打药</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3阶段(每阶段2-3次)，不同季节病虫害的防治，含药剂、人工。</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修剪</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树木修剪</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草坪修剪、绿篱修剪</w:t>
                        </w:r>
                        <w:r>
                          <w:rPr>
                            <w:rFonts w:ascii="仿宋_GB2312" w:hAnsi="仿宋_GB2312" w:cs="仿宋_GB2312" w:eastAsia="仿宋_GB2312"/>
                            <w:sz w:val="20"/>
                          </w:rPr>
                          <w:t>(含修剪完后的清理)</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管理工作</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负责人员、设备、材料的管理</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园内设备维修</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维修及损耗</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1000元以下的由供应商自行购买维修更换，超过1000元的向采购方申请。</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设备工具、油料</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1项</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打草机</w:t>
                        </w:r>
                        <w:r>
                          <w:rPr>
                            <w:rFonts w:ascii="仿宋_GB2312" w:hAnsi="仿宋_GB2312" w:cs="仿宋_GB2312" w:eastAsia="仿宋_GB2312"/>
                            <w:sz w:val="20"/>
                          </w:rPr>
                          <w:t>2台、绿篱修剪机 2台、洒水车1辆、垃圾清运车1辆、打药设备车1台</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浇水</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1项</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浇水</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按照季节及苗木长势需求，及时浇水</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树木涂白</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1项</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树木涂白</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涂白</w:t>
                        </w:r>
                        <w:r>
                          <w:rPr>
                            <w:rFonts w:ascii="仿宋_GB2312" w:hAnsi="仿宋_GB2312" w:cs="仿宋_GB2312" w:eastAsia="仿宋_GB2312"/>
                            <w:sz w:val="20"/>
                          </w:rPr>
                          <w:t>1次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日常垃圾外运</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垃圾处理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日产日清</w:t>
                        </w:r>
                      </w:p>
                    </w:tc>
                  </w:tr>
                </w:tbl>
                <w:p>
                  <w:pPr>
                    <w:pStyle w:val="null3"/>
                  </w:p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服务要求及标准</w:t>
                  </w:r>
                  <w:r>
                    <w:rPr>
                      <w:rFonts w:ascii="仿宋_GB2312" w:hAnsi="仿宋_GB2312" w:cs="仿宋_GB2312" w:eastAsia="仿宋_GB2312"/>
                      <w:sz w:val="20"/>
                    </w:rPr>
                    <w:t>:</w:t>
                  </w:r>
                </w:p>
                <w:p>
                  <w:pPr>
                    <w:pStyle w:val="null3"/>
                  </w:pPr>
                  <w:r>
                    <w:rPr>
                      <w:rFonts w:ascii="仿宋_GB2312" w:hAnsi="仿宋_GB2312" w:cs="仿宋_GB2312" w:eastAsia="仿宋_GB2312"/>
                      <w:sz w:val="20"/>
                    </w:rPr>
                    <w:t>1、保洁:</w:t>
                  </w:r>
                </w:p>
                <w:p>
                  <w:pPr>
                    <w:pStyle w:val="null3"/>
                  </w:pPr>
                  <w:r>
                    <w:rPr>
                      <w:rFonts w:ascii="仿宋_GB2312" w:hAnsi="仿宋_GB2312" w:cs="仿宋_GB2312" w:eastAsia="仿宋_GB2312"/>
                      <w:sz w:val="20"/>
                    </w:rPr>
                    <w:t>(1)“民生苑”福利园区道路及广场清扫、树叶清扫、垃圾箱、灯杆、宣传栏、标志牌及健身器械的抹洗;</w:t>
                  </w:r>
                </w:p>
                <w:p>
                  <w:pPr>
                    <w:pStyle w:val="null3"/>
                  </w:pPr>
                  <w:r>
                    <w:rPr>
                      <w:rFonts w:ascii="仿宋_GB2312" w:hAnsi="仿宋_GB2312" w:cs="仿宋_GB2312" w:eastAsia="仿宋_GB2312"/>
                      <w:sz w:val="20"/>
                    </w:rPr>
                    <w:t>(2)管理房建筑物以及廊亭过道的卫生保洁及拖抹;</w:t>
                  </w:r>
                </w:p>
                <w:p>
                  <w:pPr>
                    <w:pStyle w:val="null3"/>
                  </w:pPr>
                  <w:r>
                    <w:rPr>
                      <w:rFonts w:ascii="仿宋_GB2312" w:hAnsi="仿宋_GB2312" w:cs="仿宋_GB2312" w:eastAsia="仿宋_GB2312"/>
                      <w:sz w:val="20"/>
                    </w:rPr>
                    <w:t>(3)垃圾的清理:对园内的明爆垃圾、落叶等进行清理并日产日清。</w:t>
                  </w:r>
                </w:p>
                <w:p>
                  <w:pPr>
                    <w:pStyle w:val="null3"/>
                  </w:pPr>
                  <w:r>
                    <w:rPr>
                      <w:rFonts w:ascii="仿宋_GB2312" w:hAnsi="仿宋_GB2312" w:cs="仿宋_GB2312" w:eastAsia="仿宋_GB2312"/>
                      <w:sz w:val="20"/>
                    </w:rPr>
                    <w:t>2、修剪及除草:绿篱修剪，绿地打草，大树修剪整形</w:t>
                  </w:r>
                </w:p>
                <w:p>
                  <w:pPr>
                    <w:pStyle w:val="null3"/>
                  </w:pPr>
                  <w:r>
                    <w:rPr>
                      <w:rFonts w:ascii="仿宋_GB2312" w:hAnsi="仿宋_GB2312" w:cs="仿宋_GB2312" w:eastAsia="仿宋_GB2312"/>
                      <w:sz w:val="20"/>
                    </w:rPr>
                    <w:t>3、浇水:根据天气的旱涝程度，对乔木及绿篱进行浇水灌溉。</w:t>
                  </w:r>
                </w:p>
                <w:p>
                  <w:pPr>
                    <w:pStyle w:val="null3"/>
                  </w:pPr>
                  <w:r>
                    <w:rPr>
                      <w:rFonts w:ascii="仿宋_GB2312" w:hAnsi="仿宋_GB2312" w:cs="仿宋_GB2312" w:eastAsia="仿宋_GB2312"/>
                      <w:sz w:val="20"/>
                    </w:rPr>
                    <w:t>4、病虫害防治:根据不同季节发生的病虫害，制定防治方案并组织实施病虫害打药及防治。</w:t>
                  </w:r>
                </w:p>
                <w:p>
                  <w:pPr>
                    <w:pStyle w:val="null3"/>
                  </w:pPr>
                  <w:r>
                    <w:rPr>
                      <w:rFonts w:ascii="仿宋_GB2312" w:hAnsi="仿宋_GB2312" w:cs="仿宋_GB2312" w:eastAsia="仿宋_GB2312"/>
                      <w:sz w:val="20"/>
                    </w:rPr>
                    <w:t>5、树木涂白:冬季对园区内的所有乔木进行涂白。</w:t>
                  </w:r>
                </w:p>
                <w:p>
                  <w:pPr>
                    <w:pStyle w:val="null3"/>
                  </w:pPr>
                  <w:r>
                    <w:rPr>
                      <w:rFonts w:ascii="仿宋_GB2312" w:hAnsi="仿宋_GB2312" w:cs="仿宋_GB2312" w:eastAsia="仿宋_GB2312"/>
                      <w:sz w:val="20"/>
                    </w:rPr>
                    <w:t>6、维修及更换:公共配套设施的维修及更换(无法维修的，乙方自行购买，甲方不承担任何费用)。</w:t>
                  </w:r>
                </w:p>
                <w:p>
                  <w:pPr>
                    <w:pStyle w:val="null3"/>
                  </w:pPr>
                  <w:r>
                    <w:rPr>
                      <w:rFonts w:ascii="仿宋_GB2312" w:hAnsi="仿宋_GB2312" w:cs="仿宋_GB2312" w:eastAsia="仿宋_GB2312"/>
                      <w:sz w:val="20"/>
                    </w:rPr>
                    <w:t>7、负责园区内的一切安全(含湖面、河道、用电、用水、以及防汛排涝、不明火源等安全责任事故)。</w:t>
                  </w:r>
                </w:p>
                <w:p>
                  <w:pPr>
                    <w:pStyle w:val="null3"/>
                  </w:pPr>
                  <w:r>
                    <w:rPr>
                      <w:rFonts w:ascii="仿宋_GB2312" w:hAnsi="仿宋_GB2312" w:cs="仿宋_GB2312" w:eastAsia="仿宋_GB2312"/>
                      <w:sz w:val="20"/>
                    </w:rPr>
                    <w:t>8、园内设备维修：</w:t>
                  </w:r>
                  <w:r>
                    <w:rPr>
                      <w:rFonts w:ascii="仿宋_GB2312" w:hAnsi="仿宋_GB2312" w:cs="仿宋_GB2312" w:eastAsia="仿宋_GB2312"/>
                      <w:sz w:val="20"/>
                    </w:rPr>
                    <w:t>1000元以下的由供应商自行购买维修更换，超过1000元的向采购方申请。</w:t>
                  </w:r>
                </w:p>
                <w:p>
                  <w:pPr>
                    <w:pStyle w:val="null3"/>
                  </w:pPr>
                  <w:r>
                    <w:rPr>
                      <w:rFonts w:ascii="仿宋_GB2312" w:hAnsi="仿宋_GB2312" w:cs="仿宋_GB2312" w:eastAsia="仿宋_GB2312"/>
                      <w:sz w:val="20"/>
                    </w:rPr>
                    <w:t>9、所需的设备由</w:t>
                  </w:r>
                  <w:r>
                    <w:rPr>
                      <w:rFonts w:ascii="仿宋_GB2312" w:hAnsi="仿宋_GB2312" w:cs="仿宋_GB2312" w:eastAsia="仿宋_GB2312"/>
                      <w:sz w:val="20"/>
                    </w:rPr>
                    <w:t>成交</w:t>
                  </w:r>
                  <w:r>
                    <w:rPr>
                      <w:rFonts w:ascii="仿宋_GB2312" w:hAnsi="仿宋_GB2312" w:cs="仿宋_GB2312" w:eastAsia="仿宋_GB2312"/>
                      <w:sz w:val="20"/>
                    </w:rPr>
                    <w:t>单位</w:t>
                  </w:r>
                  <w:r>
                    <w:rPr>
                      <w:rFonts w:ascii="仿宋_GB2312" w:hAnsi="仿宋_GB2312" w:cs="仿宋_GB2312" w:eastAsia="仿宋_GB2312"/>
                      <w:sz w:val="20"/>
                    </w:rPr>
                    <w:t>自行采购。</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必须实行严格的质量管理，确保实现采购人的需求，对不符合合同要求或采购人需求的，成交供应商须无条件进行完善修改，直至达到要求为止。在项目负责人工作不得力的情况下（如技术不熟、管理不当等），采购人有权要求成交供应商更换项目负责人，由此造成的项目进度的延误，由成交供应商承担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蒲城县，采购人指定地点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1.验收依据：以本项目政府采购合同、磋商文件、供应商的响应文件及承诺为唯一依据。2.验收方式：采用“日常考核 +月度检查+期满综合验收”相结合的方式。（1）日常考核：采购人定期对园内卫生及管护情况进行检查巡查，发现问题现场指出并让服务企业及时整改。（2）月度检查：每月由双方共同进行一次全面检查，形成书面记录，对发现问题限期整改。（3）期满综合验收：合同期满前30日内，由采购人组织验收，并出具验收报告单。3.验收内容：（1）文件资料：日志、巡查记录、维修记录、管护记录资料等齐全、真实。（2）现场核查时卫生、绿化、 设施、秩序等符合合同约定标准。4.验收结果：由专家验收小组出具《履约验收报告》，作为付款及续签合同的关键依据。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合同签订后，供应方向采购方开具增值税发票，采购方收到发票后在10个工作日内向供应商支付合同价款的40%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服务期满验收合格后，在10个工作日内采购方支付供应商合同总价款的剩余款项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单位未按合同要求提供服务或服务质量不能满足技术要求，且在规定时间内未使采购人满意的，采购人有权终止合同并对其违约行为进行追究。具体按《中华人民共和国民法典》中的相关条款执行。（2）任何一方若违反本合同其他约定，致使本合同无法履行，违约方应向守约方赔偿实际损失。（3）如因成交单位工作人员在履行职务过程中的疏忽、失职、过错等故意或者过失原因给甲方造成损失或侵害，包括但不限于对采购人造成财产损失、由此而导致的采购人对任何第三方的法律责任等，成交单位对此均应承担全部的赔偿责任并负责妥善处理。（4）本合同约定的损失，包括但不限于直接或间接的经济损失、律师费、诉讼费、保全费、鉴定费等损失。（5）本合同约定的违约情形独立存在，可叠加适用。成交单位按照合同约定应当向甲方支付的违约金，成交单位同意采购人从应付未付款中直接予以扣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本项目结果公告发布后，成交单位应向代理机构提供纸质响应文件一套（一正二副），纸质响应文件应与系统上传响应文件内容保持一致。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基本资格要求.docx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提供2025年1月至今已缴纳的至少一个月的纳税证明或完税证明（任意税种），依法免税的单位应提供相关证明材料；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承诺声明</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基本资格要求.docx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法定代表人直接参加磋商的，须出具法定代表人身份证明书；法定代表人授权代表参加磋商的，须出具法定代表人授权委托书</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供应商无需提供，以代理机构开标后现场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报价未超过预算和最高限价。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磋商有效期不少于磋商文件要求，否则其响应无效。</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供应商未提供拒绝政府采购领域商业贿赂承诺书，响应无效。</w:t>
            </w:r>
          </w:p>
        </w:tc>
        <w:tc>
          <w:tcPr>
            <w:tcW w:type="dxa" w:w="1661"/>
          </w:tcPr>
          <w:p>
            <w:pPr>
              <w:pStyle w:val="null3"/>
            </w:pPr>
            <w:r>
              <w:rPr>
                <w:rFonts w:ascii="仿宋_GB2312" w:hAnsi="仿宋_GB2312" w:cs="仿宋_GB2312" w:eastAsia="仿宋_GB2312"/>
              </w:rPr>
              <w:t>拒绝贿赂承诺书.docx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服务响应</w:t>
            </w:r>
          </w:p>
        </w:tc>
        <w:tc>
          <w:tcPr>
            <w:tcW w:type="dxa" w:w="3322"/>
          </w:tcPr>
          <w:p>
            <w:pPr>
              <w:pStyle w:val="null3"/>
            </w:pPr>
            <w:r>
              <w:rPr>
                <w:rFonts w:ascii="仿宋_GB2312" w:hAnsi="仿宋_GB2312" w:cs="仿宋_GB2312" w:eastAsia="仿宋_GB2312"/>
              </w:rPr>
              <w:t>采购文件服务要求响应情况，若负偏离，响应无效。</w:t>
            </w:r>
          </w:p>
        </w:tc>
        <w:tc>
          <w:tcPr>
            <w:tcW w:type="dxa" w:w="1661"/>
          </w:tcPr>
          <w:p>
            <w:pPr>
              <w:pStyle w:val="null3"/>
            </w:pPr>
            <w:r>
              <w:rPr>
                <w:rFonts w:ascii="仿宋_GB2312" w:hAnsi="仿宋_GB2312" w:cs="仿宋_GB2312" w:eastAsia="仿宋_GB2312"/>
              </w:rPr>
              <w:t>服务应答表.docx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采购文件商务要求响应情况，若负偏离，响应无效。</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出现不符合法律法规和采购文件中规定的其他实质性要求的情况，响应无效。</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一、评审内容：提供针对本项目制定的总体服务方案，内容包含①服务目标和服务理念；②项目进驻筹备及与采购人配合衔接计划；③重难点分析及保障措施。二、评审标准： 1.完整性：方案全面，对评审内容中的各项要求有详细阐述； 2.可实施性：切合本项目实际情况，提出步骤清晰、合理的方案； 3.针对性：方案能够紧扣项目实际情况，内容科学合理。 上述3项评审内容全部满足评审标准及采购需求18分，每有一个评审内容缺项扣6分，每一项评审内容中每出现一处缺陷扣2分，扣完为止。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1、总体服务方案.docx</w:t>
            </w:r>
          </w:p>
        </w:tc>
      </w:tr>
      <w:tr>
        <w:tc>
          <w:tcPr>
            <w:tcW w:type="dxa" w:w="831"/>
            <w:vMerge/>
          </w:tcPr>
          <w:p/>
        </w:tc>
        <w:tc>
          <w:tcPr>
            <w:tcW w:type="dxa" w:w="1661"/>
          </w:tcPr>
          <w:p>
            <w:pPr>
              <w:pStyle w:val="null3"/>
            </w:pPr>
            <w:r>
              <w:rPr>
                <w:rFonts w:ascii="仿宋_GB2312" w:hAnsi="仿宋_GB2312" w:cs="仿宋_GB2312" w:eastAsia="仿宋_GB2312"/>
              </w:rPr>
              <w:t>组织机构设置</w:t>
            </w:r>
          </w:p>
        </w:tc>
        <w:tc>
          <w:tcPr>
            <w:tcW w:type="dxa" w:w="2492"/>
          </w:tcPr>
          <w:p>
            <w:pPr>
              <w:pStyle w:val="null3"/>
            </w:pPr>
            <w:r>
              <w:rPr>
                <w:rFonts w:ascii="仿宋_GB2312" w:hAnsi="仿宋_GB2312" w:cs="仿宋_GB2312" w:eastAsia="仿宋_GB2312"/>
              </w:rPr>
              <w:t>一、评审内容： 提供本项目组织机构设置，内容包含①项目组织机构设置，包括但不限于拟派人员情况、工作分工和岗位职责；②拟派项目管理人基本信息及岗位职责； 二、评审标准： 1.完整性：方案全面，对评审内容中的各项要求有详细阐述； 2.可实施性：切合本项目实际情况，提出步骤清晰、合理的方案； 3.针对性：方案能够紧扣项目实际情况，内容科学合理。 上述2项评审内容全部满足评审标准及采购需求得12分，每有一个评审内容缺项扣6分，每一项评审内容中每出现一处缺陷扣2分，扣完为止。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2、组织机构设置.docx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投标人针对本项目具有良好的管理制度，方案内容包含：①岗位要求：具有岗位职责、服务质量标准、作业流程及相关记录②内控制度：具有保密制度、廉洁敬业制度、监督机制③人员管理制度：具有员工日常管理制度、请销假制度、奖惩措施、仪容仪表制度。 二、评审标准 1.完整性：方案必须全面，对评审内容中的各项要求有详细描述； 2.落实性：切合项目具体情况，提出责任明确、要求具体的方案； 3.针对性：方案能够紧扣项目实际情况，内容科学合理。 上述3项评审内容全部满足评审标准及采购需求9分，每有一个评审内容缺项扣3分，每一项评审内容中每出现一处缺陷扣1分，扣完为止。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3、管理制度.docx</w:t>
            </w:r>
          </w:p>
        </w:tc>
      </w:tr>
      <w:tr>
        <w:tc>
          <w:tcPr>
            <w:tcW w:type="dxa" w:w="831"/>
            <w:vMerge/>
          </w:tcP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一、评审内容 针对本项目的保洁服务方案，需包含：①园内卫生保洁（公共设施表面、附属用房清洁）②垃圾收集与清理（分类收集、清运频次）③公共卫生间保洁（清洁标准、消毒频次）。 二、评审标准 1.完整性：方案覆盖所有评审内容，对每项保洁工作的范围、频次、质量标准有详细描述。 2.可实施性：方案贴合本项目园内的人流密度与清洁需求，实施步骤清晰可操作。 3.针对性：方案能区突出保洁重点，内容科学合理。 上述3项评审内容全部满足评审标准及采购需求9分，每有一个评审内容缺项扣3分，每一项评审内容中每出现一处缺陷扣1分，扣完为止。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4、保洁服务方案.docx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特点的应急预案，需包含：①紧急事件（恶劣天气、火灾、停水停电、用气安全、消防事故、地震、疫情）②违法事件（盗窃、防盗预警、打架斗殴、寻衅滋事）③其他（重要活动保障、大型节庆服务、各类检查配合）。 二、评审标准 1.完整性：方案覆盖所有评审内容，对每种事件的预警、处置流程、责任分工有详细描述。 2.可实施性：方案贴合本项目场地特性，处置步骤清晰、操作性强，明确应急物资与人员调配机制。 3.针对性：方案能区分不同事件的紧急程度，响应流程适配本项目三类场地的实际情况。 上述3项评审内容全部满足评审标准及采购需求9分，每有一个评审内容缺项扣3分，每一项评审内容中每出现一处缺陷扣1分，扣完为止。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5、应急预案.docx</w:t>
            </w:r>
          </w:p>
        </w:tc>
      </w:tr>
      <w:tr>
        <w:tc>
          <w:tcPr>
            <w:tcW w:type="dxa" w:w="831"/>
            <w:vMerge/>
          </w:tcPr>
          <w:p/>
        </w:tc>
        <w:tc>
          <w:tcPr>
            <w:tcW w:type="dxa" w:w="1661"/>
          </w:tcPr>
          <w:p>
            <w:pPr>
              <w:pStyle w:val="null3"/>
            </w:pPr>
            <w:r>
              <w:rPr>
                <w:rFonts w:ascii="仿宋_GB2312" w:hAnsi="仿宋_GB2312" w:cs="仿宋_GB2312" w:eastAsia="仿宋_GB2312"/>
              </w:rPr>
              <w:t>设备工具保障</w:t>
            </w:r>
          </w:p>
        </w:tc>
        <w:tc>
          <w:tcPr>
            <w:tcW w:type="dxa" w:w="2492"/>
          </w:tcPr>
          <w:p>
            <w:pPr>
              <w:pStyle w:val="null3"/>
            </w:pPr>
            <w:r>
              <w:rPr>
                <w:rFonts w:ascii="仿宋_GB2312" w:hAnsi="仿宋_GB2312" w:cs="仿宋_GB2312" w:eastAsia="仿宋_GB2312"/>
              </w:rPr>
              <w:t>一、评审内容 针对本项目特点提供设备工具配置清单，内容包含：①保洁绿化工具和园内设备②人员服装及日常消耗品。 二、评审标准 1.完整性：工具配置清单齐全完整，能完全满足并提供评审内容中 的各项要求； 2.实用性：设备工具质量有保障、使用率高、安全性能强、服装统一； 3.针对性：设备工具能紧扣项目实际情况，配置合理科学。上述2项评审内容全部满足评审标准及采购需求9分，每有一个评审内容缺项扣3分，每一项评审内容中每出现一处缺陷扣1分，扣完为止。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6、设备工具保障.docx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项目服务的考核、监督及管理，定期调研采购人对服务质量的满意度并加以改进，确保服务工作的优质高效，得2分,无承诺或承诺不完整不得分。2.承诺：上岗人员固定，不得随意更换，若出现服务人员因事、病等不能工作的，及时调整其他服务人员补充，确保服务工作的正常进行，得2分,无承诺或承诺不完整不得分。 3.承诺：储备可调度人员，调度人员可保障临时性工作需要及突发事件处置，得2分,无承诺或承诺不完整不得分。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7、服务承诺.docx</w:t>
            </w:r>
          </w:p>
        </w:tc>
      </w:tr>
      <w:tr>
        <w:tc>
          <w:tcPr>
            <w:tcW w:type="dxa" w:w="831"/>
            <w:vMerge/>
          </w:tcPr>
          <w:p/>
        </w:tc>
        <w:tc>
          <w:tcPr>
            <w:tcW w:type="dxa" w:w="1661"/>
          </w:tcPr>
          <w:p>
            <w:pPr>
              <w:pStyle w:val="null3"/>
            </w:pPr>
            <w:r>
              <w:rPr>
                <w:rFonts w:ascii="仿宋_GB2312" w:hAnsi="仿宋_GB2312" w:cs="仿宋_GB2312" w:eastAsia="仿宋_GB2312"/>
              </w:rPr>
              <w:t>拟投入本项目团队人员</w:t>
            </w:r>
          </w:p>
        </w:tc>
        <w:tc>
          <w:tcPr>
            <w:tcW w:type="dxa" w:w="2492"/>
          </w:tcPr>
          <w:p>
            <w:pPr>
              <w:pStyle w:val="null3"/>
            </w:pPr>
            <w:r>
              <w:rPr>
                <w:rFonts w:ascii="仿宋_GB2312" w:hAnsi="仿宋_GB2312" w:cs="仿宋_GB2312" w:eastAsia="仿宋_GB2312"/>
              </w:rPr>
              <w:t>实施人员中技术人员具有人社或住建部门颁发的与本项目相关的（项目管理、绿化养护）资格证书，一证2分，满分4分。（同一人员不重复计分）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8、拟投入本项目团队人员.docx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提供2022年1月1日以来类似项目业绩，每提供1份得2分，最高得4分。注：以合同签订日期为准，提供合同复印件（包括首页、签字盖章页，金额等，金额不得涂抹，涂抹视为无效）加盖公章。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详见附件：基本资格要求.docx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详见附件：拒绝贿赂承诺书.docx</w:t>
      </w:r>
    </w:p>
    <w:p>
      <w:pPr>
        <w:pStyle w:val="null3"/>
        <w:ind w:firstLine="960"/>
      </w:pPr>
      <w:r>
        <w:rPr>
          <w:rFonts w:ascii="仿宋_GB2312" w:hAnsi="仿宋_GB2312" w:cs="仿宋_GB2312" w:eastAsia="仿宋_GB2312"/>
        </w:rPr>
        <w:t>详见附件：1、总体服务方案.docx</w:t>
      </w:r>
    </w:p>
    <w:p>
      <w:pPr>
        <w:pStyle w:val="null3"/>
        <w:ind w:firstLine="960"/>
      </w:pPr>
      <w:r>
        <w:rPr>
          <w:rFonts w:ascii="仿宋_GB2312" w:hAnsi="仿宋_GB2312" w:cs="仿宋_GB2312" w:eastAsia="仿宋_GB2312"/>
        </w:rPr>
        <w:t>详见附件：2、组织机构设置.docx</w:t>
      </w:r>
    </w:p>
    <w:p>
      <w:pPr>
        <w:pStyle w:val="null3"/>
        <w:ind w:firstLine="960"/>
      </w:pPr>
      <w:r>
        <w:rPr>
          <w:rFonts w:ascii="仿宋_GB2312" w:hAnsi="仿宋_GB2312" w:cs="仿宋_GB2312" w:eastAsia="仿宋_GB2312"/>
        </w:rPr>
        <w:t>详见附件：3、管理制度.docx</w:t>
      </w:r>
    </w:p>
    <w:p>
      <w:pPr>
        <w:pStyle w:val="null3"/>
        <w:ind w:firstLine="960"/>
      </w:pPr>
      <w:r>
        <w:rPr>
          <w:rFonts w:ascii="仿宋_GB2312" w:hAnsi="仿宋_GB2312" w:cs="仿宋_GB2312" w:eastAsia="仿宋_GB2312"/>
        </w:rPr>
        <w:t>详见附件：4、保洁服务方案.docx</w:t>
      </w:r>
    </w:p>
    <w:p>
      <w:pPr>
        <w:pStyle w:val="null3"/>
        <w:ind w:firstLine="960"/>
      </w:pPr>
      <w:r>
        <w:rPr>
          <w:rFonts w:ascii="仿宋_GB2312" w:hAnsi="仿宋_GB2312" w:cs="仿宋_GB2312" w:eastAsia="仿宋_GB2312"/>
        </w:rPr>
        <w:t>详见附件：5、应急预案.docx</w:t>
      </w:r>
    </w:p>
    <w:p>
      <w:pPr>
        <w:pStyle w:val="null3"/>
        <w:ind w:firstLine="960"/>
      </w:pPr>
      <w:r>
        <w:rPr>
          <w:rFonts w:ascii="仿宋_GB2312" w:hAnsi="仿宋_GB2312" w:cs="仿宋_GB2312" w:eastAsia="仿宋_GB2312"/>
        </w:rPr>
        <w:t>详见附件：6、设备工具保障.docx</w:t>
      </w:r>
    </w:p>
    <w:p>
      <w:pPr>
        <w:pStyle w:val="null3"/>
        <w:ind w:firstLine="960"/>
      </w:pPr>
      <w:r>
        <w:rPr>
          <w:rFonts w:ascii="仿宋_GB2312" w:hAnsi="仿宋_GB2312" w:cs="仿宋_GB2312" w:eastAsia="仿宋_GB2312"/>
        </w:rPr>
        <w:t>详见附件：7、服务承诺.docx</w:t>
      </w:r>
    </w:p>
    <w:p>
      <w:pPr>
        <w:pStyle w:val="null3"/>
        <w:ind w:firstLine="960"/>
      </w:pPr>
      <w:r>
        <w:rPr>
          <w:rFonts w:ascii="仿宋_GB2312" w:hAnsi="仿宋_GB2312" w:cs="仿宋_GB2312" w:eastAsia="仿宋_GB2312"/>
        </w:rPr>
        <w:t>详见附件：8、拟投入本项目团队人员.docx</w:t>
      </w:r>
    </w:p>
    <w:p>
      <w:pPr>
        <w:pStyle w:val="null3"/>
        <w:ind w:firstLine="960"/>
      </w:pPr>
      <w:r>
        <w:rPr>
          <w:rFonts w:ascii="仿宋_GB2312" w:hAnsi="仿宋_GB2312" w:cs="仿宋_GB2312" w:eastAsia="仿宋_GB2312"/>
        </w:rPr>
        <w:t>详见附件：9、业绩.docx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