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版本号：SXCFY2025120420251212001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节日花卉布置摆放项目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SXCFY20251204</w:t>
      </w:r>
      <w:r>
        <w:br/>
      </w:r>
      <w:r>
        <w:br/>
      </w:r>
      <w:r>
        <w:br/>
      </w:r>
    </w:p>
    <w:p>
      <w:pPr>
        <w:pStyle w:val="null3"/>
        <w:jc w:val="center"/>
        <w:outlineLvl w:val="2"/>
      </w:pPr>
      <w:r>
        <w:rPr>
          <w:rFonts w:ascii="仿宋_GB2312" w:hAnsi="仿宋_GB2312" w:cs="仿宋_GB2312" w:eastAsia="仿宋_GB2312"/>
          <w:sz w:val="28"/>
          <w:b/>
        </w:rPr>
        <w:t>蒲城县城市管理执法局</w:t>
      </w:r>
    </w:p>
    <w:p>
      <w:pPr>
        <w:pStyle w:val="null3"/>
        <w:jc w:val="center"/>
        <w:outlineLvl w:val="2"/>
      </w:pPr>
      <w:r>
        <w:rPr>
          <w:rFonts w:ascii="仿宋_GB2312" w:hAnsi="仿宋_GB2312" w:cs="仿宋_GB2312" w:eastAsia="仿宋_GB2312"/>
          <w:sz w:val="28"/>
          <w:b/>
        </w:rPr>
        <w:t>陕西诚方源项目管理有限公司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陕西诚方源项目管理有限公司</w:t>
      </w:r>
      <w:r>
        <w:rPr>
          <w:rFonts w:ascii="仿宋_GB2312" w:hAnsi="仿宋_GB2312" w:cs="仿宋_GB2312" w:eastAsia="仿宋_GB2312"/>
        </w:rPr>
        <w:t>（以下简称“代理机构”）受</w:t>
      </w:r>
      <w:r>
        <w:rPr>
          <w:rFonts w:ascii="仿宋_GB2312" w:hAnsi="仿宋_GB2312" w:cs="仿宋_GB2312" w:eastAsia="仿宋_GB2312"/>
        </w:rPr>
        <w:t>蒲城县城市管理执法局</w:t>
      </w:r>
      <w:r>
        <w:rPr>
          <w:rFonts w:ascii="仿宋_GB2312" w:hAnsi="仿宋_GB2312" w:cs="仿宋_GB2312" w:eastAsia="仿宋_GB2312"/>
        </w:rPr>
        <w:t>委托，拟对</w:t>
      </w:r>
      <w:r>
        <w:rPr>
          <w:rFonts w:ascii="仿宋_GB2312" w:hAnsi="仿宋_GB2312" w:cs="仿宋_GB2312" w:eastAsia="仿宋_GB2312"/>
        </w:rPr>
        <w:t>节日花卉布置摆放项目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SXCFY20251204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节日花卉布置摆放项目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营造隆重热烈的节日氛围，打造赏心悦目的节日盛景，助力关中东部最佳宜居地建设；在指定区域及位置摆放造型花卉，具有一定的景观性和观赏性，并做好后期管理养护。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采购包1（节日花卉布置摆放项目）：属于专门面向中小企业采购。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1、法定代表人或其授权代表：法定代表人直接参加磋商的，须出具法定代表人身份证明书；法定代表人授权代表参加磋商的，须出具法定代表人授权委托书</w:t>
      </w:r>
    </w:p>
    <w:p>
      <w:pPr>
        <w:pStyle w:val="null3"/>
      </w:pPr>
      <w:r>
        <w:rPr>
          <w:rFonts w:ascii="仿宋_GB2312" w:hAnsi="仿宋_GB2312" w:cs="仿宋_GB2312" w:eastAsia="仿宋_GB2312"/>
        </w:rPr>
        <w:t>2、信用信息：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供应商无需提供，以代理机构开标后现场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蒲城县城市管理执法局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蒲城县南环路西段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0913-7206926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陕西诚方源项目管理有限公司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陕西省西安市新城区金花北路169号天彩大厦B座20层2001室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阮工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029-89339538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0913-7255613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开户名称：陕西诚方源项目管理有限公司(供应商缴纳保证金时需备注“SXCFY20251204磋商保证金”)</w:t>
            </w:r>
          </w:p>
          <w:p>
            <w:pPr>
              <w:pStyle w:val="null3"/>
            </w:pPr>
            <w:r>
              <w:rPr>
                <w:rFonts w:ascii="仿宋_GB2312" w:hAnsi="仿宋_GB2312" w:cs="仿宋_GB2312" w:eastAsia="仿宋_GB2312"/>
              </w:rPr>
              <w:t>开户银行：中信银行股份有限公司西安咸宁路支行</w:t>
            </w:r>
          </w:p>
          <w:p>
            <w:pPr>
              <w:pStyle w:val="null3"/>
            </w:pPr>
            <w:r>
              <w:rPr>
                <w:rFonts w:ascii="仿宋_GB2312" w:hAnsi="仿宋_GB2312" w:cs="仿宋_GB2312" w:eastAsia="仿宋_GB2312"/>
              </w:rPr>
              <w:t>银行账号：8111701011600592875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关于印发《招标代理服务收费管理暂行办法》的通知（计价格〔2002〕1980号）、《国家发展和改革委员会办公厅关于招标代理服务收费有关问题的通知》（发改办价格〔2003〕857号）规定的标准。 2、采购代理服务费账户： 公司名称：陕西诚方源项目管理有限公司 账 号: 8111701011600592875 开 户 行：中信银行股份有限公司西安咸宁路支行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蒲城县城市管理执法局</w:t>
      </w:r>
      <w:r>
        <w:rPr>
          <w:rFonts w:ascii="仿宋_GB2312" w:hAnsi="仿宋_GB2312" w:cs="仿宋_GB2312" w:eastAsia="仿宋_GB2312"/>
        </w:rPr>
        <w:t>和</w:t>
      </w:r>
      <w:r>
        <w:rPr>
          <w:rFonts w:ascii="仿宋_GB2312" w:hAnsi="仿宋_GB2312" w:cs="仿宋_GB2312" w:eastAsia="仿宋_GB2312"/>
        </w:rPr>
        <w:t>陕西诚方源项目管理有限公司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蒲城县城市管理执法局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陕西诚方源项目管理有限公司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蒲城县城市管理执法局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陕西诚方源项目管理有限公司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政府采购合同、磋商文件、供应商的响应文件及承诺为唯一依据。在摆放期间，采购方管理人员及时巡查，发现花卉枯萎影响景观性的，及时要求供应商更换；在养护期间，根据花卉的长势及景观性，及时要求供应商浇水和更换，并做好防盗措施。最终苗木数量以实际进场数量为准，现场管理人员出具服务项目确认单。服务期满后由专家验收小组出具《履约验收报告》，作为付款的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联系人：阮工</w:t>
      </w:r>
    </w:p>
    <w:p>
      <w:pPr>
        <w:pStyle w:val="null3"/>
      </w:pPr>
      <w:r>
        <w:rPr>
          <w:rFonts w:ascii="仿宋_GB2312" w:hAnsi="仿宋_GB2312" w:cs="仿宋_GB2312" w:eastAsia="仿宋_GB2312"/>
        </w:rPr>
        <w:t>联系电话：029-89339538</w:t>
      </w:r>
    </w:p>
    <w:p>
      <w:pPr>
        <w:pStyle w:val="null3"/>
      </w:pPr>
      <w:r>
        <w:rPr>
          <w:rFonts w:ascii="仿宋_GB2312" w:hAnsi="仿宋_GB2312" w:cs="仿宋_GB2312" w:eastAsia="仿宋_GB2312"/>
        </w:rPr>
        <w:t>地址：陕西省西安市新城区金花北路169号天彩大厦B座1单元20层2001室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营造隆重热烈的节日氛围，打造赏心悦目的节日盛景，助力关中东部最佳宜居地建设；在指定区域及位置摆放造型花卉，具有一定的景观性和观赏性，并做好后期管理养护。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1,250,000.00</w:t>
      </w:r>
    </w:p>
    <w:p>
      <w:pPr>
        <w:pStyle w:val="null3"/>
      </w:pPr>
      <w:r>
        <w:rPr>
          <w:rFonts w:ascii="仿宋_GB2312" w:hAnsi="仿宋_GB2312" w:cs="仿宋_GB2312" w:eastAsia="仿宋_GB2312"/>
        </w:rPr>
        <w:t>采购包最高限价（元）: 1,250,000.00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节日花卉布置摆放项目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标的名称：节日花卉布置摆放项目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35"/>
                    <w:gridCol w:w="72"/>
                    <w:gridCol w:w="106"/>
                    <w:gridCol w:w="106"/>
                    <w:gridCol w:w="106"/>
                    <w:gridCol w:w="106"/>
                    <w:gridCol w:w="106"/>
                  </w:tblGrid>
                  <w:tr>
                    <w:tc>
                      <w:tcPr>
                        <w:tcW w:type="dxa" w:w="3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项目摆放清单</w:t>
                        </w:r>
                      </w:p>
                    </w:tc>
                    <w:tc>
                      <w:tcPr>
                        <w:tcW w:type="dxa" w:w="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p>
                    </w:tc>
                    <w:tc>
                      <w:tcPr>
                        <w:tcW w:type="dxa" w:w="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35"/>
                        <w:vMerge/>
                        <w:tcBorders>
                          <w:top w:val="single" w:color="000000" w:sz="4"/>
                          <w:left w:val="single" w:color="000000" w:sz="4"/>
                          <w:bottom w:val="single" w:color="000000" w:sz="4"/>
                          <w:right w:val="single" w:color="000000" w:sz="4"/>
                        </w:tcBorders>
                      </w:tcPr>
                      <w:p/>
                    </w:tc>
                    <w:tc>
                      <w:tcPr>
                        <w:tcW w:type="dxa" w:w="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场地一</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艺术花篮</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w:t>
                        </w:r>
                        <w:r>
                          <w:rPr>
                            <w:rFonts w:ascii="仿宋_GB2312" w:hAnsi="仿宋_GB2312" w:cs="仿宋_GB2312" w:eastAsia="仿宋_GB2312"/>
                            <w:sz w:val="20"/>
                            <w:color w:val="000000"/>
                          </w:rPr>
                          <w:t>10米*9.5米，直径9.5米</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彩叶草（黄）</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H:20-25cm    </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彩叶草（红）</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H:20-25cm    </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8800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彩叶草（花边）</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H:20-25cm    </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3300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大红繁星</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335</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粉色繁星</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一串红</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营养钵</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61700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一串红</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5500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橘黄孔雀草</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营养钵</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27080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红叶鸡冠花</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营养钵</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5580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三角梅</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H：60-80cm</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145</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小鸭掌</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H：30-40cm</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93</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龙船花</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H:40-50cm</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小变叶木</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H：60-80cm</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一叶兰</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H：80-110cm  </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南天竹</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H:120cm-150cm   </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罗汉松</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H:100cm-150cm</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罗汉造型盆景</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H:280cm-350cm</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沙子</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r>
                          <w:rPr>
                            <w:rFonts w:ascii="仿宋_GB2312" w:hAnsi="仿宋_GB2312" w:cs="仿宋_GB2312" w:eastAsia="仿宋_GB2312"/>
                            <w:sz w:val="20"/>
                            <w:color w:val="000000"/>
                          </w:rPr>
                          <w:t>³</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r>
                          <w:rPr>
                            <w:rFonts w:ascii="仿宋_GB2312" w:hAnsi="仿宋_GB2312" w:cs="仿宋_GB2312" w:eastAsia="仿宋_GB2312"/>
                            <w:sz w:val="20"/>
                            <w:color w:val="000000"/>
                          </w:rPr>
                          <w:t>³</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围栏</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pvc材质</w:t>
                        </w:r>
                        <w:r>
                          <w:br/>
                        </w:r>
                        <w:r>
                          <w:rPr>
                            <w:rFonts w:ascii="仿宋_GB2312" w:hAnsi="仿宋_GB2312" w:cs="仿宋_GB2312" w:eastAsia="仿宋_GB2312"/>
                            <w:sz w:val="20"/>
                            <w:color w:val="000000"/>
                          </w:rPr>
                          <w:t>高</w:t>
                        </w:r>
                        <w:r>
                          <w:rPr>
                            <w:rFonts w:ascii="仿宋_GB2312" w:hAnsi="仿宋_GB2312" w:cs="仿宋_GB2312" w:eastAsia="仿宋_GB2312"/>
                            <w:sz w:val="20"/>
                            <w:color w:val="000000"/>
                          </w:rPr>
                          <w:t>13cm</w:t>
                        </w: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土工布</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
                        <w:vMerge/>
                        <w:tcBorders>
                          <w:top w:val="single" w:color="000000" w:sz="4"/>
                          <w:left w:val="single" w:color="000000" w:sz="4"/>
                          <w:bottom w:val="single" w:color="000000" w:sz="4"/>
                          <w:right w:val="single" w:color="000000" w:sz="4"/>
                        </w:tcBorders>
                      </w:tcPr>
                      <w:p/>
                    </w:tc>
                    <w:tc>
                      <w:tcPr>
                        <w:tcW w:type="dxa" w:w="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场地二</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艺术雕塑</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组合雕塑</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亮黄孔雀草</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2944</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桔黄孔雀草</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5996</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一串红</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7648</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红叶鸡冠花</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3952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围栏</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pvc材质</w:t>
                        </w:r>
                        <w:r>
                          <w:br/>
                        </w:r>
                        <w:r>
                          <w:rPr>
                            <w:rFonts w:ascii="仿宋_GB2312" w:hAnsi="仿宋_GB2312" w:cs="仿宋_GB2312" w:eastAsia="仿宋_GB2312"/>
                            <w:sz w:val="20"/>
                            <w:color w:val="000000"/>
                          </w:rPr>
                          <w:t>高</w:t>
                        </w:r>
                        <w:r>
                          <w:rPr>
                            <w:rFonts w:ascii="仿宋_GB2312" w:hAnsi="仿宋_GB2312" w:cs="仿宋_GB2312" w:eastAsia="仿宋_GB2312"/>
                            <w:sz w:val="20"/>
                            <w:color w:val="000000"/>
                          </w:rPr>
                          <w:t>13cm</w:t>
                        </w:r>
                      </w:p>
                    </w:tc>
                  </w:tr>
                  <w:tr>
                    <w:tc>
                      <w:tcPr>
                        <w:tcW w:type="dxa" w:w="35"/>
                        <w:vMerge/>
                        <w:tcBorders>
                          <w:top w:val="single" w:color="000000" w:sz="4"/>
                          <w:left w:val="single" w:color="000000" w:sz="4"/>
                          <w:bottom w:val="single" w:color="000000" w:sz="4"/>
                          <w:right w:val="single" w:color="000000" w:sz="4"/>
                        </w:tcBorders>
                      </w:tcPr>
                      <w:p/>
                    </w:tc>
                    <w:tc>
                      <w:tcPr>
                        <w:tcW w:type="dxa" w:w="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场地三</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红叶鸡冠花</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桔黄孔雀草</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944</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一串红</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944</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场地四</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红叶鸡冠花</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桔黄孔雀草</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584</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一串红</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584</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场地五</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一串红</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营养钵</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15500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桔黄孔雀草</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营养钵</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18500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“铭记历史”字体</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亮黄</w:t>
                        </w:r>
                        <w:r>
                          <w:rPr>
                            <w:rFonts w:ascii="仿宋_GB2312" w:hAnsi="仿宋_GB2312" w:cs="仿宋_GB2312" w:eastAsia="仿宋_GB2312"/>
                            <w:sz w:val="20"/>
                            <w:color w:val="000000"/>
                          </w:rPr>
                          <w:t>PVC字，2.6m*2.6m/个字，背部做钢结构支撑，共四个字</w:t>
                        </w:r>
                      </w:p>
                    </w:tc>
                  </w:tr>
                  <w:tr>
                    <w:tc>
                      <w:tcPr>
                        <w:tcW w:type="dxa" w:w="35"/>
                        <w:vMerge/>
                        <w:tcBorders>
                          <w:top w:val="single" w:color="000000" w:sz="4"/>
                          <w:left w:val="single" w:color="000000" w:sz="4"/>
                          <w:bottom w:val="single" w:color="000000" w:sz="4"/>
                          <w:right w:val="single" w:color="000000" w:sz="4"/>
                        </w:tcBorders>
                      </w:tcPr>
                      <w:p/>
                    </w:tc>
                    <w:tc>
                      <w:tcPr>
                        <w:tcW w:type="dxa" w:w="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场地六</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红叶鸡冠花</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桔黄孔雀草</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营养钵</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桔黄孔雀草</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一串红</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土工布</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围栏</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1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pvc材质</w:t>
                        </w:r>
                        <w:r>
                          <w:br/>
                        </w:r>
                        <w:r>
                          <w:rPr>
                            <w:rFonts w:ascii="仿宋_GB2312" w:hAnsi="仿宋_GB2312" w:cs="仿宋_GB2312" w:eastAsia="仿宋_GB2312"/>
                            <w:sz w:val="20"/>
                            <w:color w:val="000000"/>
                          </w:rPr>
                          <w:t>高</w:t>
                        </w:r>
                        <w:r>
                          <w:rPr>
                            <w:rFonts w:ascii="仿宋_GB2312" w:hAnsi="仿宋_GB2312" w:cs="仿宋_GB2312" w:eastAsia="仿宋_GB2312"/>
                            <w:sz w:val="20"/>
                            <w:color w:val="000000"/>
                          </w:rPr>
                          <w:t>13cm</w:t>
                        </w:r>
                      </w:p>
                    </w:tc>
                  </w:tr>
                  <w:tr>
                    <w:tc>
                      <w:tcPr>
                        <w:tcW w:type="dxa" w:w="35"/>
                        <w:vMerge/>
                        <w:tcBorders>
                          <w:top w:val="single" w:color="000000" w:sz="4"/>
                          <w:left w:val="single" w:color="000000" w:sz="4"/>
                          <w:bottom w:val="single" w:color="000000" w:sz="4"/>
                          <w:right w:val="single" w:color="000000" w:sz="4"/>
                        </w:tcBorders>
                      </w:tcPr>
                      <w:p/>
                    </w:tc>
                    <w:tc>
                      <w:tcPr>
                        <w:tcW w:type="dxa" w:w="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场地七</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一串红</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营养钵</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15800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红叶鸡冠花</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桔黄孔雀草</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三角梅</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H:60-80cm</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小变叶木</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H：60-80cm</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小鸭掌</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H:30-40cm  </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龙船花</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H:40-50cm</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罗汉松</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H:100cm-150cm</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围栏</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pvc材质</w:t>
                        </w:r>
                        <w:r>
                          <w:br/>
                        </w:r>
                        <w:r>
                          <w:rPr>
                            <w:rFonts w:ascii="仿宋_GB2312" w:hAnsi="仿宋_GB2312" w:cs="仿宋_GB2312" w:eastAsia="仿宋_GB2312"/>
                            <w:sz w:val="20"/>
                            <w:color w:val="000000"/>
                          </w:rPr>
                          <w:t>高</w:t>
                        </w:r>
                        <w:r>
                          <w:rPr>
                            <w:rFonts w:ascii="仿宋_GB2312" w:hAnsi="仿宋_GB2312" w:cs="仿宋_GB2312" w:eastAsia="仿宋_GB2312"/>
                            <w:sz w:val="20"/>
                            <w:color w:val="000000"/>
                          </w:rPr>
                          <w:t>13cm</w:t>
                        </w: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土工布</w:t>
                        </w:r>
                      </w:p>
                    </w:tc>
                    <w:tc>
                      <w:tcPr>
                        <w:tcW w:type="dxa" w:w="1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沙子</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r>
                          <w:rPr>
                            <w:rFonts w:ascii="仿宋_GB2312" w:hAnsi="仿宋_GB2312" w:cs="仿宋_GB2312" w:eastAsia="仿宋_GB2312"/>
                            <w:sz w:val="20"/>
                            <w:color w:val="000000"/>
                          </w:rPr>
                          <w:t>³</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“五角星”</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亮黄</w:t>
                        </w:r>
                        <w:r>
                          <w:rPr>
                            <w:rFonts w:ascii="仿宋_GB2312" w:hAnsi="仿宋_GB2312" w:cs="仿宋_GB2312" w:eastAsia="仿宋_GB2312"/>
                            <w:sz w:val="20"/>
                            <w:color w:val="000000"/>
                          </w:rPr>
                          <w:t>PVC五角星，1.35*1.35m，背部做钢结构支撑</w:t>
                        </w:r>
                      </w:p>
                    </w:tc>
                  </w:tr>
                  <w:tr>
                    <w:tc>
                      <w:tcPr>
                        <w:tcW w:type="dxa" w:w="35"/>
                        <w:vMerge/>
                        <w:tcBorders>
                          <w:top w:val="single" w:color="000000" w:sz="4"/>
                          <w:left w:val="single" w:color="000000" w:sz="4"/>
                          <w:bottom w:val="single" w:color="000000" w:sz="4"/>
                          <w:right w:val="single" w:color="000000" w:sz="4"/>
                        </w:tcBorders>
                      </w:tcPr>
                      <w:p/>
                    </w:tc>
                    <w:tc>
                      <w:tcPr>
                        <w:tcW w:type="dxa" w:w="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场地八</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大红繁星</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1248</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粉色繁星</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146</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桔黄孔雀草</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一串红</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1188</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红叶鸡冠花</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彩叶草</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H:20-25cm</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三角梅</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H:60-80cm</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小鸭掌</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H:30-40cm</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土工布</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沙子</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r>
                          <w:rPr>
                            <w:rFonts w:ascii="仿宋_GB2312" w:hAnsi="仿宋_GB2312" w:cs="仿宋_GB2312" w:eastAsia="仿宋_GB2312"/>
                            <w:sz w:val="20"/>
                            <w:color w:val="000000"/>
                          </w:rPr>
                          <w:t>³</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围栏</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r>
                          <w:rPr>
                            <w:rFonts w:ascii="仿宋_GB2312" w:hAnsi="仿宋_GB2312" w:cs="仿宋_GB2312" w:eastAsia="仿宋_GB2312"/>
                            <w:sz w:val="20"/>
                            <w:color w:val="000000"/>
                          </w:rPr>
                          <w:t>³</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pvc材质</w:t>
                        </w:r>
                        <w:r>
                          <w:br/>
                        </w:r>
                        <w:r>
                          <w:rPr>
                            <w:rFonts w:ascii="仿宋_GB2312" w:hAnsi="仿宋_GB2312" w:cs="仿宋_GB2312" w:eastAsia="仿宋_GB2312"/>
                            <w:sz w:val="20"/>
                            <w:color w:val="000000"/>
                          </w:rPr>
                          <w:t>高</w:t>
                        </w:r>
                        <w:r>
                          <w:rPr>
                            <w:rFonts w:ascii="仿宋_GB2312" w:hAnsi="仿宋_GB2312" w:cs="仿宋_GB2312" w:eastAsia="仿宋_GB2312"/>
                            <w:sz w:val="20"/>
                            <w:color w:val="000000"/>
                          </w:rPr>
                          <w:t>13cm</w:t>
                        </w:r>
                      </w:p>
                    </w:tc>
                  </w:tr>
                  <w:tr>
                    <w:tc>
                      <w:tcPr>
                        <w:tcW w:type="dxa" w:w="35"/>
                        <w:vMerge/>
                        <w:tcBorders>
                          <w:top w:val="single" w:color="000000" w:sz="4"/>
                          <w:left w:val="single" w:color="000000" w:sz="4"/>
                          <w:bottom w:val="single" w:color="000000" w:sz="4"/>
                          <w:right w:val="single" w:color="000000" w:sz="4"/>
                        </w:tcBorders>
                      </w:tcPr>
                      <w:p/>
                    </w:tc>
                    <w:tc>
                      <w:tcPr>
                        <w:tcW w:type="dxa" w:w="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场地九</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亮黄孔雀草</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696</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桔黄孔雀草</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614</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一串红</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红叶鸡冠花</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694</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彩叶草</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H:20-25cm</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三角梅</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H:60-80cm</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龙船花</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H:40-50cm</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海棠</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围栏</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pvc材质</w:t>
                        </w:r>
                        <w:r>
                          <w:br/>
                        </w:r>
                        <w:r>
                          <w:rPr>
                            <w:rFonts w:ascii="仿宋_GB2312" w:hAnsi="仿宋_GB2312" w:cs="仿宋_GB2312" w:eastAsia="仿宋_GB2312"/>
                            <w:sz w:val="20"/>
                            <w:color w:val="000000"/>
                          </w:rPr>
                          <w:t>高</w:t>
                        </w:r>
                        <w:r>
                          <w:rPr>
                            <w:rFonts w:ascii="仿宋_GB2312" w:hAnsi="仿宋_GB2312" w:cs="仿宋_GB2312" w:eastAsia="仿宋_GB2312"/>
                            <w:sz w:val="20"/>
                            <w:color w:val="000000"/>
                          </w:rPr>
                          <w:t>13cm</w:t>
                        </w: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沙子</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r>
                          <w:rPr>
                            <w:rFonts w:ascii="仿宋_GB2312" w:hAnsi="仿宋_GB2312" w:cs="仿宋_GB2312" w:eastAsia="仿宋_GB2312"/>
                            <w:sz w:val="20"/>
                            <w:color w:val="000000"/>
                          </w:rPr>
                          <w:t>³</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土工布</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场地十</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大红繁星</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场地</w:t>
                        </w:r>
                        <w:r>
                          <w:br/>
                        </w:r>
                        <w:r>
                          <w:rPr>
                            <w:rFonts w:ascii="仿宋_GB2312" w:hAnsi="仿宋_GB2312" w:cs="仿宋_GB2312" w:eastAsia="仿宋_GB2312"/>
                            <w:sz w:val="20"/>
                            <w:color w:val="000000"/>
                          </w:rPr>
                          <w:t>十一</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橘黄孔雀草</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营养钵</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一串红</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营养钵</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一串红</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大红繁星</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vMerge/>
                        <w:tcBorders>
                          <w:top w:val="single" w:color="000000" w:sz="4"/>
                          <w:left w:val="single" w:color="000000" w:sz="4"/>
                          <w:bottom w:val="single" w:color="000000" w:sz="4"/>
                          <w:right w:val="single" w:color="000000" w:sz="4"/>
                        </w:tcBorders>
                      </w:tcPr>
                      <w:p/>
                    </w:tc>
                    <w:tc>
                      <w:tcPr>
                        <w:tcW w:type="dxa" w:w="72"/>
                        <w:vMerge/>
                        <w:tcBorders>
                          <w:top w:val="none" w:color="000000" w:sz="4"/>
                          <w:left w:val="single" w:color="000000" w:sz="4"/>
                          <w:bottom w:val="single" w:color="000000" w:sz="4"/>
                          <w:right w:val="single" w:color="000000" w:sz="4"/>
                        </w:tcBorders>
                      </w:tcP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粉色繁星</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双色盆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要求：</w:t>
                        </w:r>
                        <w:r>
                          <w:rPr>
                            <w:rFonts w:ascii="仿宋_GB2312" w:hAnsi="仿宋_GB2312" w:cs="仿宋_GB2312" w:eastAsia="仿宋_GB2312"/>
                            <w:sz w:val="20"/>
                            <w:color w:val="000000"/>
                          </w:rPr>
                          <w:t>1、营养钵尺寸10x10cm ；双色盆尺寸12x12cm ；彩叶草双色盆尺寸13x15cm。</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2、字体及“五角星”安装方式：直接镶嵌于花丛当中，底部空隙用盆花填充。</w:t>
                        </w:r>
                      </w:p>
                    </w:tc>
                  </w:tr>
                </w:tbl>
                <w:p>
                  <w:pPr>
                    <w:pStyle w:val="null3"/>
                  </w:p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摆放及养护要求</w:t>
                  </w:r>
                </w:p>
                <w:p>
                  <w:pPr>
                    <w:pStyle w:val="null3"/>
                  </w:pPr>
                  <w:r>
                    <w:rPr>
                      <w:rFonts w:ascii="仿宋_GB2312" w:hAnsi="仿宋_GB2312" w:cs="仿宋_GB2312" w:eastAsia="仿宋_GB2312"/>
                      <w:sz w:val="20"/>
                      <w:color w:val="000000"/>
                    </w:rPr>
                    <w:t>1、所提供摆放草花应长势旺盛，花卉开放程度适中，颜色鲜艳、纯正，高低整齐，无枯死，无病虫害。</w:t>
                  </w:r>
                  <w:r>
                    <w:br/>
                  </w:r>
                  <w:r>
                    <w:rPr>
                      <w:rFonts w:ascii="仿宋_GB2312" w:hAnsi="仿宋_GB2312" w:cs="仿宋_GB2312" w:eastAsia="仿宋_GB2312"/>
                      <w:sz w:val="20"/>
                      <w:color w:val="000000"/>
                    </w:rPr>
                    <w:t>2、设计造型、数量、品种、位置应根据采购人的需求及时进行调整，供应商应随时更换损坏的花卉、盆花，确保摆放点周围的环境卫生干净整洁。</w:t>
                  </w:r>
                  <w:r>
                    <w:br/>
                  </w:r>
                  <w:r>
                    <w:rPr>
                      <w:rFonts w:ascii="仿宋_GB2312" w:hAnsi="仿宋_GB2312" w:cs="仿宋_GB2312" w:eastAsia="仿宋_GB2312"/>
                      <w:sz w:val="20"/>
                      <w:color w:val="000000"/>
                    </w:rPr>
                    <w:t>3、摆放及养护期内，供应商须自行负责摆放点的管护及防盗工作，负责其所需的水、电设施等，自行处理与摆放地点的有关管理部门和单位的协调工作，在摆放期间确保交通顺畅，不发生拥堵，摆放期间因花卉摆放产生的意外事故均由供应商负全责。</w:t>
                  </w:r>
                  <w:r>
                    <w:br/>
                  </w:r>
                  <w:r>
                    <w:rPr>
                      <w:rFonts w:ascii="仿宋_GB2312" w:hAnsi="仿宋_GB2312" w:cs="仿宋_GB2312" w:eastAsia="仿宋_GB2312"/>
                      <w:sz w:val="20"/>
                      <w:color w:val="000000"/>
                    </w:rPr>
                    <w:t>4、摆放及养护期内，供应商组建专业的养护队伍，每天巡查，发现死株、枯株、长势不良（不得出现黄叶）、花盆损坏或影响观赏效果的需及时更换，确保最佳的观赏效果。</w:t>
                  </w:r>
                  <w:r>
                    <w:br/>
                  </w:r>
                  <w:r>
                    <w:rPr>
                      <w:rFonts w:ascii="仿宋_GB2312" w:hAnsi="仿宋_GB2312" w:cs="仿宋_GB2312" w:eastAsia="仿宋_GB2312"/>
                      <w:sz w:val="20"/>
                      <w:color w:val="000000"/>
                    </w:rPr>
                    <w:t>5、服务期结束后，由供应商负责拆除、清理现场，恢复原貌。</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满足采购文件3.2.2要求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满足采购文件3.2.2要求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必须实行严格的质量管理，确保实现采购人的需求，对不符合合同要求或采购人需求的，成交供应商须无条件进行完善修改，直至达到要求为止。在项目负责人工作不得力的情况下（如技术不熟、管理不当等），采购人有权要求成交供应商更换项目负责人，由此造成的项目进度的延误，由成交供应商承担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摆放期10天，养护期30天，共计40天。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蒲城县，采购人指定地点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政府采购合同、磋商文件、供应商的响应文件及承诺为唯一依据。在摆放期间，采购方管理人员及时巡查，发现花卉枯萎影响景观性的，及时要求供应商更换；在养护期间，根据花卉的长势及景观性，及时要求供应商浇水和更换，并做好防盗措施。最终苗木数量以实际进场数量为准，现场管理人员出具服务项目确认单。服务期满后由专家验收小组出具《履约验收报告》，作为付款的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付款方式：合同签订后，供应方向采购方开具增值税发票，采购方收到发票后在10个工作日内向供应商支付合同价款的40%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服务期满验收合格后，在10个工作日内采购方支付供应商合同总价款的剩余款项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合同执行中发生争议的，当事人双方应协商解决。协商达不成一致时，可向采购人所在地人民法院提起诉讼。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成交单位在中标(成交)结果公告结束后3个工作日内向采购代理机构提供纸质版投标文件正本一份，副本二份，电子U盘二份(响应文件内容与电子版一致)。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投标文件递交截止时间前六个月内其开户银行出具的资信证明或担保函；注：根据“【财办2022】32号”的规定，2022年后出具的审计报告须在注册会计师行业统一监管平台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基本资格要求.docx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提供2025年1月至今已缴纳的至少一个月的纳税证明或完税证明（任意税种），依法免税的单位应提供相关证明材料；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承诺声明</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基本资格要求.docx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法定代表人或其授权代表</w:t>
            </w:r>
          </w:p>
        </w:tc>
        <w:tc>
          <w:tcPr>
            <w:tcW w:type="dxa" w:w="3322"/>
          </w:tcPr>
          <w:p>
            <w:pPr>
              <w:pStyle w:val="null3"/>
            </w:pPr>
            <w:r>
              <w:rPr>
                <w:rFonts w:ascii="仿宋_GB2312" w:hAnsi="仿宋_GB2312" w:cs="仿宋_GB2312" w:eastAsia="仿宋_GB2312"/>
              </w:rPr>
              <w:t>法定代表人直接参加磋商的，须出具法定代表人身份证明书；法定代表人授权代表参加磋商的，须出具法定代表人授权委托书</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供应商无需提供，以代理机构开标后现场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报价未超过预算和最高限价。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磋商有效期不少于磋商文件要求，否则其响应无效。</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服务响应</w:t>
            </w:r>
          </w:p>
        </w:tc>
        <w:tc>
          <w:tcPr>
            <w:tcW w:type="dxa" w:w="3322"/>
          </w:tcPr>
          <w:p>
            <w:pPr>
              <w:pStyle w:val="null3"/>
            </w:pPr>
            <w:r>
              <w:rPr>
                <w:rFonts w:ascii="仿宋_GB2312" w:hAnsi="仿宋_GB2312" w:cs="仿宋_GB2312" w:eastAsia="仿宋_GB2312"/>
              </w:rPr>
              <w:t>采购文件服务要求响应情况，若负偏离，响应无效。</w:t>
            </w:r>
          </w:p>
        </w:tc>
        <w:tc>
          <w:tcPr>
            <w:tcW w:type="dxa" w:w="1661"/>
          </w:tcPr>
          <w:p>
            <w:pPr>
              <w:pStyle w:val="null3"/>
            </w:pPr>
            <w:r>
              <w:rPr>
                <w:rFonts w:ascii="仿宋_GB2312" w:hAnsi="仿宋_GB2312" w:cs="仿宋_GB2312" w:eastAsia="仿宋_GB2312"/>
              </w:rPr>
              <w:t>服务应答表.docx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采购文件商务要求响应情况，若负偏离，响应无效。</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供应商拒绝政府采购领域商业贿赂承诺书</w:t>
            </w:r>
          </w:p>
        </w:tc>
        <w:tc>
          <w:tcPr>
            <w:tcW w:type="dxa" w:w="3322"/>
          </w:tcPr>
          <w:p>
            <w:pPr>
              <w:pStyle w:val="null3"/>
            </w:pPr>
            <w:r>
              <w:rPr>
                <w:rFonts w:ascii="仿宋_GB2312" w:hAnsi="仿宋_GB2312" w:cs="仿宋_GB2312" w:eastAsia="仿宋_GB2312"/>
              </w:rPr>
              <w:t>供应商未提供拒绝政府采购领域商业贿赂承诺书，响应无效。</w:t>
            </w:r>
          </w:p>
        </w:tc>
        <w:tc>
          <w:tcPr>
            <w:tcW w:type="dxa" w:w="1661"/>
          </w:tcPr>
          <w:p>
            <w:pPr>
              <w:pStyle w:val="null3"/>
            </w:pPr>
            <w:r>
              <w:rPr>
                <w:rFonts w:ascii="仿宋_GB2312" w:hAnsi="仿宋_GB2312" w:cs="仿宋_GB2312" w:eastAsia="仿宋_GB2312"/>
              </w:rPr>
              <w:t>拒绝贿赂承诺书.docx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出现不符合法律法规和采购文件中规定的其他实质性要求的情况，响应无效。</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：①总体方案设计：提供摆花节点花卉及造型的方案设计设想意向图；②制订本项目实施进度计划；③设立专人负责制，提供具体项目组成员名单。 二、评审标准 1、完整性：方案须全面，对评审内容中的各项要求有详细描述及说明； 2、可实施性：切合本项目实际情况，实施步骤清晰、合理； 3、针对性：方案能够紧扣项目实际情况，内容科学合理。上述3项评审内容全部满足评审标准得13.5分，每有一个评审内容缺项扣4.5分，每一项评审内容中每出现一处缺陷扣1.5分，扣完为止。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1、服务方案.docx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一、评审内容 ①应急保障措施、②确保花卉成活的保障措施、③本项目的养护期服务措施。 二、评审标准 1、完整性：方案须全面，对评审内容中的各项要求有详细描述及说明； 2、可实施性：切合本项目实际情况，实施步骤清晰、合理； 3、针对性：方案能够紧扣项目实际情况，内容科学合理。 上述3项评审内容全部满足评审标准得9分，每有一个评审内容缺项扣3分，每一项评审内容中每出现一处缺陷扣1分，扣完为止。三、备注：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2、服务保障.docx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提出针对于本项目的管理制度方案，方案内容包含①岗位职责：包含岗位工作标准、服务质量标准、现场质量控制体系、组织架构图；②内控制度：包含保密制度、管理组织机构、问责机制、监督机制、自查制度、档案管理制度（包含档案保管措施及档案的归档、移交、备案登记、保存和销毁）；③人员管理制度：包含员工日常管理办法、请销假制度、奖惩措施、激励机制、仪容仪表制度；④培训制度：包含岗前培训、应急培训。 二、评审标准 1、完整性：方案须全面，对评审内容中的要求有详细描述及说明； 2、可实施性：切合本项目实际情况，实施步骤清晰、合理； 3、针对性：方案能够紧扣项目实际情况，内容科学合理。 上述4项评审内容全部满足评审标准得12分，每有一个评审内容缺项扣3分，每一项评审内容中每出现一处缺陷扣1分，扣完为止。三、备注：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3、管理制度.docx</w:t>
            </w:r>
          </w:p>
        </w:tc>
      </w:tr>
      <w:tr>
        <w:tc>
          <w:tcPr>
            <w:tcW w:type="dxa" w:w="831"/>
            <w:vMerge/>
          </w:tcPr>
          <w:p/>
        </w:tc>
        <w:tc>
          <w:tcPr>
            <w:tcW w:type="dxa" w:w="1661"/>
          </w:tcPr>
          <w:p>
            <w:pPr>
              <w:pStyle w:val="null3"/>
            </w:pPr>
            <w:r>
              <w:rPr>
                <w:rFonts w:ascii="仿宋_GB2312" w:hAnsi="仿宋_GB2312" w:cs="仿宋_GB2312" w:eastAsia="仿宋_GB2312"/>
              </w:rPr>
              <w:t>养护措施</w:t>
            </w:r>
          </w:p>
        </w:tc>
        <w:tc>
          <w:tcPr>
            <w:tcW w:type="dxa" w:w="2492"/>
          </w:tcPr>
          <w:p>
            <w:pPr>
              <w:pStyle w:val="null3"/>
            </w:pPr>
            <w:r>
              <w:rPr>
                <w:rFonts w:ascii="仿宋_GB2312" w:hAnsi="仿宋_GB2312" w:cs="仿宋_GB2312" w:eastAsia="仿宋_GB2312"/>
              </w:rPr>
              <w:t>一、评审内容 为保证项目实施，针对本项目提出合理的养护措施，能够满足项目实施要求。二、评审标准 1、完整性：方案须全面，对评审内容中的要求有详细描述及说明； 2、可实施性：切合本项目实际情况，实施步骤清晰、合理； 3、针对性：方案能够紧扣项目实际情况，内容科学合理。上述评审内容全部满足评审标准得9分，每有一个评审内容缺项扣3分，每一项评审内容中每出现一处缺陷扣1分，扣完为止三、备注：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4、养护措施.docx</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一、评审内容 针对本项目提供①应急方案：在服务期内出现特殊情况时的应急处理措施方案。②质量保证措施：针对该项目提供响应的质量保证措施和售后服务方案。 二、评审标准 1、完整性：方案详细全面，对评审内容中的要求有详细描述及说明； 2、可实施性：切合本项目实际情况，实施步骤清晰、合理； 3、针对性：方案能够紧扣项目实际情况，内容科学合理。 上述评审内容全部满足评审标准得12分，每有一个评审内容缺项扣6分，每一项评审内容中每出现一处缺陷扣2分，扣完为止三、备注：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5、保证措施.docx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一、评审内容 针对本项目提供的详细的后续服务方案，后续服务方案包含后续服务人员实力、保证措施、服务流程、响应速度、服务承诺等，内容包括：①后续服务人员实力； ②保证措施；③服务流程；④响应速度；⑤服务承诺。 二、评审标准 1、完整性：方案须全面，对评审内容中的各项要求有详细描述及说明； 2、可实施性：切合本项目实际情况，实施步骤清晰、合理； 3、针对性：方案能够紧扣项目实际情况，内容科学合理。上述5项评审内容全部满足评审标准得15分，每有一个评审内容缺项扣3分，每一项评审内容中每出现一处缺陷扣1分，扣完为止。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6、后续服务方案.docx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供应商针对本项目拟派项目负责人及其他拟派驻人员的人员数量充足、分工明确、人员资格/年龄等符合采购需求，人员相关岗位经验丰富切合本项目实际情况。 二、赋分标准（满分9分） （1）项目负责人：具备园林、绿化、园艺、风景园林、林业专业工程师中级职称得1分。具备园林、绿化、园艺、风景园林、林业专业工程师高级职称得2.5分。 （2）其他拟派驻人员：具备园林绿化技师职称，每提供一个得1分，最高得3分。 注：供应商需提供上述评审项中要求的包括但不限于人员身份证、职称证、资格证等相关证明资料。</w:t>
            </w:r>
          </w:p>
        </w:tc>
        <w:tc>
          <w:tcPr>
            <w:tcW w:type="dxa" w:w="831"/>
          </w:tcPr>
          <w:p>
            <w:pPr>
              <w:pStyle w:val="null3"/>
              <w:jc w:val="right"/>
            </w:pPr>
            <w:r>
              <w:rPr>
                <w:rFonts w:ascii="仿宋_GB2312" w:hAnsi="仿宋_GB2312" w:cs="仿宋_GB2312" w:eastAsia="仿宋_GB2312"/>
              </w:rPr>
              <w:t>5.5000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7、人员配置.docx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提供2022年1月至今供应商类似项目业绩，以合同为准，每份2分，最高得4分。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详见附件：基本资格要求.docx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详见附件：拒绝贿赂承诺书.docx</w:t>
      </w:r>
    </w:p>
    <w:p>
      <w:pPr>
        <w:pStyle w:val="null3"/>
        <w:ind w:firstLine="960"/>
      </w:pPr>
      <w:r>
        <w:rPr>
          <w:rFonts w:ascii="仿宋_GB2312" w:hAnsi="仿宋_GB2312" w:cs="仿宋_GB2312" w:eastAsia="仿宋_GB2312"/>
        </w:rPr>
        <w:t>详见附件：1、服务方案.docx</w:t>
      </w:r>
    </w:p>
    <w:p>
      <w:pPr>
        <w:pStyle w:val="null3"/>
        <w:ind w:firstLine="960"/>
      </w:pPr>
      <w:r>
        <w:rPr>
          <w:rFonts w:ascii="仿宋_GB2312" w:hAnsi="仿宋_GB2312" w:cs="仿宋_GB2312" w:eastAsia="仿宋_GB2312"/>
        </w:rPr>
        <w:t>详见附件：2、服务保障.docx</w:t>
      </w:r>
    </w:p>
    <w:p>
      <w:pPr>
        <w:pStyle w:val="null3"/>
        <w:ind w:firstLine="960"/>
      </w:pPr>
      <w:r>
        <w:rPr>
          <w:rFonts w:ascii="仿宋_GB2312" w:hAnsi="仿宋_GB2312" w:cs="仿宋_GB2312" w:eastAsia="仿宋_GB2312"/>
        </w:rPr>
        <w:t>详见附件：3、管理制度.docx</w:t>
      </w:r>
    </w:p>
    <w:p>
      <w:pPr>
        <w:pStyle w:val="null3"/>
        <w:ind w:firstLine="960"/>
      </w:pPr>
      <w:r>
        <w:rPr>
          <w:rFonts w:ascii="仿宋_GB2312" w:hAnsi="仿宋_GB2312" w:cs="仿宋_GB2312" w:eastAsia="仿宋_GB2312"/>
        </w:rPr>
        <w:t>详见附件：4、养护措施.docx</w:t>
      </w:r>
    </w:p>
    <w:p>
      <w:pPr>
        <w:pStyle w:val="null3"/>
        <w:ind w:firstLine="960"/>
      </w:pPr>
      <w:r>
        <w:rPr>
          <w:rFonts w:ascii="仿宋_GB2312" w:hAnsi="仿宋_GB2312" w:cs="仿宋_GB2312" w:eastAsia="仿宋_GB2312"/>
        </w:rPr>
        <w:t>详见附件：5、保证措施.docx</w:t>
      </w:r>
    </w:p>
    <w:p>
      <w:pPr>
        <w:pStyle w:val="null3"/>
        <w:ind w:firstLine="960"/>
      </w:pPr>
      <w:r>
        <w:rPr>
          <w:rFonts w:ascii="仿宋_GB2312" w:hAnsi="仿宋_GB2312" w:cs="仿宋_GB2312" w:eastAsia="仿宋_GB2312"/>
        </w:rPr>
        <w:t>详见附件：6、后续服务方案.docx</w:t>
      </w:r>
    </w:p>
    <w:p>
      <w:pPr>
        <w:pStyle w:val="null3"/>
        <w:ind w:firstLine="960"/>
      </w:pPr>
      <w:r>
        <w:rPr>
          <w:rFonts w:ascii="仿宋_GB2312" w:hAnsi="仿宋_GB2312" w:cs="仿宋_GB2312" w:eastAsia="仿宋_GB2312"/>
        </w:rPr>
        <w:t>详见附件：7、人员配置.docx</w:t>
      </w:r>
    </w:p>
    <w:p>
      <w:pPr>
        <w:pStyle w:val="null3"/>
        <w:ind w:firstLine="960"/>
      </w:pPr>
      <w:r>
        <w:rPr>
          <w:rFonts w:ascii="仿宋_GB2312" w:hAnsi="仿宋_GB2312" w:cs="仿宋_GB2312" w:eastAsia="仿宋_GB2312"/>
        </w:rPr>
        <w:t>详见附件：8、业绩.docx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