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版本号：SX-JSZB(2025)-02020251209002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蒲城县农业投入品监管系统项目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SX-JSZB(2025)-020</w:t>
      </w:r>
      <w:r>
        <w:br/>
      </w:r>
      <w:r>
        <w:br/>
      </w:r>
      <w:r>
        <w:br/>
      </w:r>
    </w:p>
    <w:p>
      <w:pPr>
        <w:pStyle w:val="null3"/>
        <w:jc w:val="center"/>
        <w:outlineLvl w:val="2"/>
      </w:pPr>
      <w:r>
        <w:rPr>
          <w:rFonts w:ascii="仿宋_GB2312" w:hAnsi="仿宋_GB2312" w:cs="仿宋_GB2312" w:eastAsia="仿宋_GB2312"/>
          <w:sz w:val="28"/>
          <w:b/>
        </w:rPr>
        <w:t>蒲城县农业农村局</w:t>
      </w:r>
    </w:p>
    <w:p>
      <w:pPr>
        <w:pStyle w:val="null3"/>
        <w:jc w:val="center"/>
        <w:outlineLvl w:val="2"/>
      </w:pPr>
      <w:r>
        <w:rPr>
          <w:rFonts w:ascii="仿宋_GB2312" w:hAnsi="仿宋_GB2312" w:cs="仿宋_GB2312" w:eastAsia="仿宋_GB2312"/>
          <w:sz w:val="28"/>
          <w:b/>
        </w:rPr>
        <w:t>陕西巨思项目管理有限公司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陕西巨思项目管理有限公司</w:t>
      </w:r>
      <w:r>
        <w:rPr>
          <w:rFonts w:ascii="仿宋_GB2312" w:hAnsi="仿宋_GB2312" w:cs="仿宋_GB2312" w:eastAsia="仿宋_GB2312"/>
        </w:rPr>
        <w:t>（以下简称“代理机构”）受</w:t>
      </w:r>
      <w:r>
        <w:rPr>
          <w:rFonts w:ascii="仿宋_GB2312" w:hAnsi="仿宋_GB2312" w:cs="仿宋_GB2312" w:eastAsia="仿宋_GB2312"/>
        </w:rPr>
        <w:t>蒲城县农业农村局</w:t>
      </w:r>
      <w:r>
        <w:rPr>
          <w:rFonts w:ascii="仿宋_GB2312" w:hAnsi="仿宋_GB2312" w:cs="仿宋_GB2312" w:eastAsia="仿宋_GB2312"/>
        </w:rPr>
        <w:t>委托，拟对</w:t>
      </w:r>
      <w:r>
        <w:rPr>
          <w:rFonts w:ascii="仿宋_GB2312" w:hAnsi="仿宋_GB2312" w:cs="仿宋_GB2312" w:eastAsia="仿宋_GB2312"/>
        </w:rPr>
        <w:t>蒲城县农业投入品监管系统项目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SX-JSZB(2025)-020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蒲城县农业投入品监管系统项目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在农资经营门店开展农业投入品动态监管预警与信息服务工作,完成农资门店信息化设备配置与系统接入，实现农业投入品进销存数据的实时采集与上传:建立健全农业投入品监管数据库，实现对农业投入品质量的动态监测和预警。通过数据分析，为农业生产提供科学指导，推动农业绿色、高质量发展，全面提升农产品质量安全水平。;需满足的要求:基于现有陕西省农业投入品监管系统，对接陕西省农业农村大数据中心，贴合农药、兽药、种子等经营销售监管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财务状况报告：提供2024年度经审计的财务报告（包括“三表一注”，即资产负债表、利润表、现金流量表及其附注，成立时间至提交投标文件截止时间不足一年的可提供成立后任意时段的资产负债表），或其基本存款账户开户银行出具的资信证明及基本存款账户证明；</w:t>
      </w:r>
    </w:p>
    <w:p>
      <w:pPr>
        <w:pStyle w:val="null3"/>
      </w:pPr>
      <w:r>
        <w:rPr>
          <w:rFonts w:ascii="仿宋_GB2312" w:hAnsi="仿宋_GB2312" w:cs="仿宋_GB2312" w:eastAsia="仿宋_GB2312"/>
        </w:rPr>
        <w:t>3、税收缴纳证明：提供投标截止日前6个月内已缴纳的至少一个月的纳税证明或完税证明（增值税或印花税等税种），依法免税的单位应提供相关证明材料；</w:t>
      </w:r>
    </w:p>
    <w:p>
      <w:pPr>
        <w:pStyle w:val="null3"/>
      </w:pPr>
      <w:r>
        <w:rPr>
          <w:rFonts w:ascii="仿宋_GB2312" w:hAnsi="仿宋_GB2312" w:cs="仿宋_GB2312" w:eastAsia="仿宋_GB2312"/>
        </w:rPr>
        <w:t>4、社会保障资金缴纳证明：提供投标截止日前6个月内已缴存的至少一个月的社会保障资金缴存单据或社保机构开具的社会保险参保缴费情况证明，依法不需要缴纳社会保障资金的单位应提供相关证明材料；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5、专业技术能力证明：提供具有履行合同所必需的设备和专业技术能力的承诺；</w:t>
      </w:r>
    </w:p>
    <w:p>
      <w:pPr>
        <w:pStyle w:val="null3"/>
      </w:pPr>
      <w:r>
        <w:rPr>
          <w:rFonts w:ascii="仿宋_GB2312" w:hAnsi="仿宋_GB2312" w:cs="仿宋_GB2312" w:eastAsia="仿宋_GB2312"/>
        </w:rPr>
        <w:t>6、无重大违法记录声明：参加政府采购活动前3年内，在经营活动中没有重大违法记录的书面声明；</w:t>
      </w:r>
    </w:p>
    <w:p>
      <w:pPr>
        <w:pStyle w:val="null3"/>
      </w:pPr>
      <w:r>
        <w:rPr>
          <w:rFonts w:ascii="仿宋_GB2312" w:hAnsi="仿宋_GB2312" w:cs="仿宋_GB2312" w:eastAsia="仿宋_GB2312"/>
        </w:rPr>
        <w:t>7、法定代表人证明书或授权委托书：非法定代表人参加投标，须提供法定代表人授权委托书及被授权人身份证原件；法定代表人参加投标时,须提供法人身份证明书及法定代表人身份证原件；</w:t>
      </w:r>
    </w:p>
    <w:p>
      <w:pPr>
        <w:pStyle w:val="null3"/>
      </w:pPr>
      <w:r>
        <w:rPr>
          <w:rFonts w:ascii="仿宋_GB2312" w:hAnsi="仿宋_GB2312" w:cs="仿宋_GB2312" w:eastAsia="仿宋_GB2312"/>
        </w:rPr>
        <w:t>8、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蒲城县农业农村局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渭南市蒲城县城关街道延安路东段20号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冀娟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0913-3335678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陕西巨思项目管理有限公司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陕西省西安市经济技术开发区凤城八路158号20幢1单元6楼609室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董星、郑凌汐、高欢、宋雯静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19992817810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惠娜娜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13892323567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采购包1：1,866,000.00元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开户名称：陕西巨思项目管理有限公司</w:t>
            </w:r>
          </w:p>
          <w:p>
            <w:pPr>
              <w:pStyle w:val="null3"/>
            </w:pPr>
            <w:r>
              <w:rPr>
                <w:rFonts w:ascii="仿宋_GB2312" w:hAnsi="仿宋_GB2312" w:cs="仿宋_GB2312" w:eastAsia="仿宋_GB2312"/>
              </w:rPr>
              <w:t>开户银行：中国建设银行股份有限公司西安中央领郡支行</w:t>
            </w:r>
          </w:p>
          <w:p>
            <w:pPr>
              <w:pStyle w:val="null3"/>
            </w:pPr>
            <w:r>
              <w:rPr>
                <w:rFonts w:ascii="仿宋_GB2312" w:hAnsi="仿宋_GB2312" w:cs="仿宋_GB2312" w:eastAsia="仿宋_GB2312"/>
              </w:rPr>
              <w:t>银行账号：6105 0190 0042 0000 0459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收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蒲城县农业农村局</w:t>
      </w:r>
      <w:r>
        <w:rPr>
          <w:rFonts w:ascii="仿宋_GB2312" w:hAnsi="仿宋_GB2312" w:cs="仿宋_GB2312" w:eastAsia="仿宋_GB2312"/>
        </w:rPr>
        <w:t>和</w:t>
      </w:r>
      <w:r>
        <w:rPr>
          <w:rFonts w:ascii="仿宋_GB2312" w:hAnsi="仿宋_GB2312" w:cs="仿宋_GB2312" w:eastAsia="仿宋_GB2312"/>
        </w:rPr>
        <w:t>陕西巨思项目管理有限公司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蒲城县农业农村局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陕西巨思项目管理有限公司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蒲城县农业农村局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陕西巨思项目管理有限公司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国家相关的规范及行业验收规范、标准执行及《财政部关于进一步加强政府采购需求和覆约验收管理的指导意见》(财库[2016]205号)文件的规定、验收由采购人组织相关单位及专家组成验收组进行。验收标准按采购文件规定的要求和响应文件及合同承诺的内容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陕西巨思项目管理有限公司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陕西巨思项目管理有限公司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陕西巨思项目管理有限公司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联系人：董星</w:t>
      </w:r>
    </w:p>
    <w:p>
      <w:pPr>
        <w:pStyle w:val="null3"/>
      </w:pPr>
      <w:r>
        <w:rPr>
          <w:rFonts w:ascii="仿宋_GB2312" w:hAnsi="仿宋_GB2312" w:cs="仿宋_GB2312" w:eastAsia="仿宋_GB2312"/>
        </w:rPr>
        <w:t>联系电话：19992817810</w:t>
      </w:r>
    </w:p>
    <w:p>
      <w:pPr>
        <w:pStyle w:val="null3"/>
      </w:pPr>
      <w:r>
        <w:rPr>
          <w:rFonts w:ascii="仿宋_GB2312" w:hAnsi="仿宋_GB2312" w:cs="仿宋_GB2312" w:eastAsia="仿宋_GB2312"/>
        </w:rPr>
        <w:t>地址：陕西省西安市经济技术开发区凤城八路158号20幢1单元6楼609室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农资经营门店开展农业投入品动态监管预警与信息服务工作,完成农资门店信息化设备配置与系统接入，实现农业投入品进销存数据的实时采集与上传:建立健全农业投入品监管数据库，实现对农业投入品质量的动态监测和预警。通过数据分析，为农业生产提供科学指导，推动农业绿色、高质量发展，全面提升农产品质量安全水平。;需满足的要求:基于现有陕西省农业投入品监管系统，对接陕西省农业农村大数据中心，贴合农药、兽药、种子等经营销售监管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1,866,000.00</w:t>
      </w:r>
    </w:p>
    <w:p>
      <w:pPr>
        <w:pStyle w:val="null3"/>
      </w:pPr>
      <w:r>
        <w:rPr>
          <w:rFonts w:ascii="仿宋_GB2312" w:hAnsi="仿宋_GB2312" w:cs="仿宋_GB2312" w:eastAsia="仿宋_GB2312"/>
        </w:rPr>
        <w:t>采购包最高限价（元）: 1,866,000.00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蒲城县农业投入品监管系统项目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1,866,000.00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标的名称：蒲城县农业投入品监管系统项目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p>
          <w:p>
            <w:pPr>
              <w:pStyle w:val="null3"/>
            </w:pPr>
            <w:r>
              <w:rPr>
                <w:rFonts w:ascii="仿宋_GB2312" w:hAnsi="仿宋_GB2312" w:cs="仿宋_GB2312" w:eastAsia="仿宋_GB2312"/>
              </w:rPr>
              <w:t>1、项目名称:蒲城县农业投入品监管系统项目</w:t>
            </w:r>
          </w:p>
          <w:p>
            <w:pPr>
              <w:pStyle w:val="null3"/>
            </w:pPr>
            <w:r>
              <w:rPr>
                <w:rFonts w:ascii="仿宋_GB2312" w:hAnsi="仿宋_GB2312" w:cs="仿宋_GB2312" w:eastAsia="仿宋_GB2312"/>
              </w:rPr>
              <w:t>2、服务期限:自合同签订之日起3个月内交付验收完成。</w:t>
            </w:r>
          </w:p>
          <w:p>
            <w:pPr>
              <w:pStyle w:val="null3"/>
            </w:pPr>
            <w:r>
              <w:rPr>
                <w:rFonts w:ascii="仿宋_GB2312" w:hAnsi="仿宋_GB2312" w:cs="仿宋_GB2312" w:eastAsia="仿宋_GB2312"/>
              </w:rPr>
              <w:t>3、质保期:自验收合格之日起3年。</w:t>
            </w:r>
          </w:p>
          <w:p>
            <w:pPr>
              <w:pStyle w:val="null3"/>
            </w:pPr>
            <w:r>
              <w:rPr>
                <w:rFonts w:ascii="仿宋_GB2312" w:hAnsi="仿宋_GB2312" w:cs="仿宋_GB2312" w:eastAsia="仿宋_GB2312"/>
              </w:rPr>
              <w:t>4、项目概况:在农资经营门店开展农业投入品动态监管预警与信息服务工作,完成农资门店信息化设备配置与系统接入，实现农业投入品进销存数据的实时采集与上传;建立健全农业投入品监管数据库，实现对农业投入品质量的动态监测和预警。通过数据分析，为农业生产提供科学指导，推动农业绿色、高质量发展，全面提升农产品质量安全水平。;需满足的要求:基于现有陕西省农业投入品监管系统，对接陕西省农业农村大数据中心，贴合农药、兽药、种子等经营销售监管需求。</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二、采购内容</w:t>
            </w:r>
          </w:p>
          <w:p>
            <w:pPr>
              <w:pStyle w:val="null3"/>
            </w:pPr>
            <w:r>
              <w:rPr>
                <w:rFonts w:ascii="仿宋_GB2312" w:hAnsi="仿宋_GB2312" w:cs="仿宋_GB2312" w:eastAsia="仿宋_GB2312"/>
              </w:rPr>
              <w:t>1、智能终端购置集成服务。暂定购置农资门店智能终端 439套完成省级农业投入品监管平台集成服务；</w:t>
            </w:r>
          </w:p>
          <w:p>
            <w:pPr>
              <w:pStyle w:val="null3"/>
            </w:pPr>
            <w:r>
              <w:rPr>
                <w:rFonts w:ascii="仿宋_GB2312" w:hAnsi="仿宋_GB2312" w:cs="仿宋_GB2312" w:eastAsia="仿宋_GB2312"/>
              </w:rPr>
              <w:t>2、数据归集、安装部署与网络调试。开展智能终端的安装部署与网络调试，保障农业投入品系统的落地应用；</w:t>
            </w:r>
          </w:p>
          <w:p>
            <w:pPr>
              <w:pStyle w:val="null3"/>
            </w:pPr>
            <w:r>
              <w:rPr>
                <w:rFonts w:ascii="仿宋_GB2312" w:hAnsi="仿宋_GB2312" w:cs="仿宋_GB2312" w:eastAsia="仿宋_GB2312"/>
              </w:rPr>
              <w:t>3、数据对接。保障设备采集数据与陕西省农业农村大数据中心互联互通。</w:t>
            </w:r>
          </w:p>
          <w:p>
            <w:pPr>
              <w:pStyle w:val="null3"/>
            </w:pPr>
            <w:r>
              <w:rPr>
                <w:rFonts w:ascii="仿宋_GB2312" w:hAnsi="仿宋_GB2312" w:cs="仿宋_GB2312" w:eastAsia="仿宋_GB2312"/>
              </w:rPr>
              <w:t>4、项目培训与售后服务，按照集中培训和上门培训的方式，对门店进行培训服务。项目验收完成后，提供三年的售后服务。</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三、建设要求</w:t>
            </w:r>
          </w:p>
          <w:p>
            <w:pPr>
              <w:pStyle w:val="null3"/>
            </w:pPr>
            <w:r>
              <w:rPr>
                <w:rFonts w:ascii="仿宋_GB2312" w:hAnsi="仿宋_GB2312" w:cs="仿宋_GB2312" w:eastAsia="仿宋_GB2312"/>
              </w:rPr>
              <w:t>基于现有陕西省农业投入品监管系统，在我县农资经营门店开展农业投入品动态监管预警与信息服务工作整县推进试点工作。</w:t>
            </w:r>
          </w:p>
          <w:p>
            <w:pPr>
              <w:pStyle w:val="null3"/>
            </w:pPr>
            <w:r>
              <w:rPr>
                <w:rFonts w:ascii="仿宋_GB2312" w:hAnsi="仿宋_GB2312" w:cs="仿宋_GB2312" w:eastAsia="仿宋_GB2312"/>
              </w:rPr>
              <w:t>围绕农药、兽药、种子、肥料等生产资料经营销售监管需求，选择基础条件好、经营稳定、已接入互联网、经营人员具备基本电脑操作技能且有安装意愿的农资门店，配置相关设备，对接省农业农村大数据中心，开展农业投入品监管预警应用，实现农业投入品与农产品质量安全的双向追溯，提高我县农业数字化监管水平。</w:t>
            </w:r>
          </w:p>
          <w:p>
            <w:pPr>
              <w:pStyle w:val="null3"/>
            </w:pPr>
            <w:r>
              <w:rPr>
                <w:rFonts w:ascii="仿宋_GB2312" w:hAnsi="仿宋_GB2312" w:cs="仿宋_GB2312" w:eastAsia="仿宋_GB2312"/>
              </w:rPr>
              <w:t>1、农资门店智能终端购置集成服务</w:t>
            </w:r>
          </w:p>
          <w:p>
            <w:pPr>
              <w:pStyle w:val="null3"/>
            </w:pPr>
            <w:r>
              <w:rPr>
                <w:rFonts w:ascii="仿宋_GB2312" w:hAnsi="仿宋_GB2312" w:cs="仿宋_GB2312" w:eastAsia="仿宋_GB2312"/>
              </w:rPr>
              <w:t>基于省级投入品监管平台，购置智能终端,提供终端与平台集成安装部署服务。实现蒲城县农资门店全覆盖，全方位采集农业投入品购买和使用记录。智能终端应包括销售一体机设备、扫码设备、身份读取设备、票据打印设备、人像采集设备等功能设备，支持二维码扫描、影像数据采集、销售记录打印等门店信息数据源头梳理，实现整县农业投入品监管的扫码识别和进销存应用全覆盖。</w:t>
            </w:r>
          </w:p>
          <w:p>
            <w:pPr>
              <w:pStyle w:val="null3"/>
            </w:pPr>
            <w:r>
              <w:rPr>
                <w:rFonts w:ascii="仿宋_GB2312" w:hAnsi="仿宋_GB2312" w:cs="仿宋_GB2312" w:eastAsia="仿宋_GB2312"/>
              </w:rPr>
              <w:t>2、网络调试与数据归集</w:t>
            </w:r>
          </w:p>
          <w:p>
            <w:pPr>
              <w:pStyle w:val="null3"/>
            </w:pPr>
            <w:r>
              <w:rPr>
                <w:rFonts w:ascii="仿宋_GB2312" w:hAnsi="仿宋_GB2312" w:cs="仿宋_GB2312" w:eastAsia="仿宋_GB2312"/>
              </w:rPr>
              <w:t>对上述已安装设备接入互联网进行调试，实现与省农业农村大数据中心的对接，保障农业投入品系统与管理终端采集的各项数据能够实时上传。</w:t>
            </w:r>
          </w:p>
          <w:p>
            <w:pPr>
              <w:pStyle w:val="null3"/>
            </w:pPr>
            <w:r>
              <w:rPr>
                <w:rFonts w:ascii="仿宋_GB2312" w:hAnsi="仿宋_GB2312" w:cs="仿宋_GB2312" w:eastAsia="仿宋_GB2312"/>
              </w:rPr>
              <w:t>3、培训与系统维护</w:t>
            </w:r>
          </w:p>
          <w:p>
            <w:pPr>
              <w:pStyle w:val="null3"/>
            </w:pPr>
            <w:r>
              <w:rPr>
                <w:rFonts w:ascii="仿宋_GB2312" w:hAnsi="仿宋_GB2312" w:cs="仿宋_GB2312" w:eastAsia="仿宋_GB2312"/>
              </w:rPr>
              <w:t>在安装设备并完成调试的同时对农资门店经营人员进行现场培训，确保其能正常使用配备的设备，正常采集数据，上传数据。对使用系统的县级行业管理单位进行集中培训。对发生故障的设备及时进行维修，对因经营不善等原因需要退出的农资门店及时调整更换设备到新的农资门店。</w:t>
            </w:r>
          </w:p>
          <w:p>
            <w:pPr>
              <w:pStyle w:val="null3"/>
            </w:pPr>
            <w:r>
              <w:rPr>
                <w:rFonts w:ascii="仿宋_GB2312" w:hAnsi="仿宋_GB2312" w:cs="仿宋_GB2312" w:eastAsia="仿宋_GB2312"/>
              </w:rPr>
              <w:t>4、智能终端参数要求</w:t>
            </w:r>
          </w:p>
          <w:p>
            <w:pPr>
              <w:pStyle w:val="null3"/>
            </w:pPr>
            <w:r>
              <w:rPr>
                <w:rFonts w:ascii="仿宋_GB2312" w:hAnsi="仿宋_GB2312" w:cs="仿宋_GB2312" w:eastAsia="仿宋_GB2312"/>
              </w:rPr>
              <w:t>智能终端设备应具备农资扫码出入库、农资销售实时登记、农资实时备案、农户实名制匹配建档、农药处方在线开具、挂账、退换货等功能。设备管理系统应具备各类报表汇总、查看功能，包括且不限于库存信息、出入库信息、建档人员信息、订单总量、销售额、农资登记总量等。设备应具备与省级平台互联互通能力，能实现农户人像档案库自动在线识别分析、农资入库与登记备案库实时在线比对等功能，具备数据对外共享报送能力。设备支持与手机端的应用的互联互通，通过手机端进行产品出入库、农资销售实时登记等数据实现与智能终端设备的实时共享。</w:t>
            </w:r>
          </w:p>
          <w:p>
            <w:pPr>
              <w:pStyle w:val="null3"/>
            </w:pPr>
            <w:r>
              <w:rPr>
                <w:rFonts w:ascii="仿宋_GB2312" w:hAnsi="仿宋_GB2312" w:cs="仿宋_GB2312" w:eastAsia="仿宋_GB2312"/>
              </w:rPr>
              <w:t>智能终端设备硬件要求如下：</w:t>
            </w:r>
          </w:p>
          <w:p>
            <w:pPr>
              <w:pStyle w:val="null3"/>
            </w:pPr>
            <w:r>
              <w:rPr>
                <w:rFonts w:ascii="仿宋_GB2312" w:hAnsi="仿宋_GB2312" w:cs="仿宋_GB2312" w:eastAsia="仿宋_GB2312"/>
              </w:rPr>
              <w:t>（1）销售一体机设备。要求为双屏显示销售一体机，参数要求：▲主屏不低于12.1"HD，客显不低于10.1" HD；▲处理器不低于4核2.0GHz；▲存储器不低于3GB RAM+32GB ROM；触摸屏支持电容多点触摸；Wi-Fi（2.4GHz）支持 IEEE 802.11 b/g/n协议；具备蓝牙功能，BT 2.1/3.0/4.0/4.2/5.0；▲外部USB接口不低于2个，具有 RJ45 LAN 口；▲操作系统不低于Android 7。</w:t>
            </w:r>
          </w:p>
          <w:p>
            <w:pPr>
              <w:pStyle w:val="null3"/>
            </w:pPr>
            <w:r>
              <w:rPr>
                <w:rFonts w:ascii="仿宋_GB2312" w:hAnsi="仿宋_GB2312" w:cs="仿宋_GB2312" w:eastAsia="仿宋_GB2312"/>
              </w:rPr>
              <w:t>（2）产品扫码设备。要求具备产品扫描功能，支持条形码和二维码的识读与解析，快速完成产品的出入库、备案与销售。参数要求：支持无线扫码，设备像素不低于640*480；支持照明、对焦；▲识读码制支持条形码和二维码；通讯接口支持USB2.0；支持Android操作系统。</w:t>
            </w:r>
          </w:p>
          <w:p>
            <w:pPr>
              <w:pStyle w:val="null3"/>
            </w:pPr>
            <w:r>
              <w:rPr>
                <w:rFonts w:ascii="仿宋_GB2312" w:hAnsi="仿宋_GB2312" w:cs="仿宋_GB2312" w:eastAsia="仿宋_GB2312"/>
              </w:rPr>
              <w:t>（3）身份数据读取设备。▲要求具备身份证读取功能，通过读取录入农户的身份信息，为农户建立档案；同时具备农户在线建档及本地图像库采集比对功能，通过终端实现农户基础档案在线建档，并完成本地图像库及省级图像库的比对。参数要求：设备阅读距离不小于3cm；接口支持USB2.0；▲支持OTG即插即用。</w:t>
            </w:r>
          </w:p>
          <w:p>
            <w:pPr>
              <w:pStyle w:val="null3"/>
            </w:pPr>
            <w:r>
              <w:rPr>
                <w:rFonts w:ascii="仿宋_GB2312" w:hAnsi="仿宋_GB2312" w:cs="仿宋_GB2312" w:eastAsia="仿宋_GB2312"/>
              </w:rPr>
              <w:t>（4）票据打印设备。要求具备销售记录打印功能，通过终端实现销售小票的打印，实现农户留存溯源。参数要求：设备为热敏打印机；接口类型支持USB；支持常规的小票打印纸规格。</w:t>
            </w:r>
          </w:p>
          <w:p>
            <w:pPr>
              <w:pStyle w:val="null3"/>
            </w:pPr>
            <w:r>
              <w:rPr>
                <w:rFonts w:ascii="仿宋_GB2312" w:hAnsi="仿宋_GB2312" w:cs="仿宋_GB2312" w:eastAsia="仿宋_GB2312"/>
              </w:rPr>
              <w:t>（5）人像采集设备。要求具备人脸捕捉功能，采集的图像与农户档案关联，支持同省级农户人脸信息库进行匹配，可实现本地人脸采集及比对分析。参数要求：▲设备最大分辨率不低于 720p/30fps；▲可实现自动对焦；▲支持Android操作系统。</w:t>
            </w:r>
          </w:p>
          <w:p>
            <w:pPr>
              <w:pStyle w:val="null3"/>
            </w:pPr>
            <w:r>
              <w:rPr>
                <w:rFonts w:ascii="仿宋_GB2312" w:hAnsi="仿宋_GB2312" w:cs="仿宋_GB2312" w:eastAsia="仿宋_GB2312"/>
              </w:rPr>
              <w:t>5、智能终端数据报送要求</w:t>
            </w:r>
          </w:p>
          <w:p>
            <w:pPr>
              <w:pStyle w:val="null3"/>
            </w:pPr>
            <w:r>
              <w:rPr>
                <w:rFonts w:ascii="仿宋_GB2312" w:hAnsi="仿宋_GB2312" w:cs="仿宋_GB2312" w:eastAsia="仿宋_GB2312"/>
              </w:rPr>
              <w:t>农资门店的智能终端系统应满足以规定频率、时间、地址向省级农业投入品监管系统报送规定数据，系统应确保数据报送的完整性、准确性、及时性。</w:t>
            </w:r>
          </w:p>
          <w:p>
            <w:pPr>
              <w:pStyle w:val="null3"/>
            </w:pPr>
            <w:r>
              <w:rPr>
                <w:rFonts w:ascii="仿宋_GB2312" w:hAnsi="仿宋_GB2312" w:cs="仿宋_GB2312" w:eastAsia="仿宋_GB2312"/>
              </w:rPr>
              <w:t>智能终端系统数据报送表</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数据类别</w:t>
                  </w:r>
                </w:p>
              </w:tc>
              <w:tc>
                <w:tcPr>
                  <w:tcW w:type="dxa" w:w="1276"/>
                  <w:gridSpan w:val="2"/>
                </w:tcPr>
                <w:p>
                  <w:pPr>
                    <w:pStyle w:val="null3"/>
                  </w:pPr>
                  <w:r>
                    <w:rPr>
                      <w:rFonts w:ascii="仿宋_GB2312" w:hAnsi="仿宋_GB2312" w:cs="仿宋_GB2312" w:eastAsia="仿宋_GB2312"/>
                    </w:rPr>
                    <w:t>主要内容</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基础信息</w:t>
                  </w:r>
                </w:p>
              </w:tc>
              <w:tc>
                <w:tcPr>
                  <w:tcW w:type="dxa" w:w="1276"/>
                  <w:gridSpan w:val="2"/>
                </w:tcPr>
                <w:p>
                  <w:pPr>
                    <w:pStyle w:val="null3"/>
                  </w:pPr>
                  <w:r>
                    <w:rPr>
                      <w:rFonts w:ascii="仿宋_GB2312" w:hAnsi="仿宋_GB2312" w:cs="仿宋_GB2312" w:eastAsia="仿宋_GB2312"/>
                    </w:rPr>
                    <w:t>店铺名称，经营种类（种子、农药、化肥、农资），门店负责人，门店电话，门店坐标，设备名称，设备类型，设备品牌</w:t>
                  </w:r>
                </w:p>
              </w:tc>
            </w:tr>
            <w:tr>
              <w:tc>
                <w:tcPr>
                  <w:tcW w:type="dxa" w:w="638"/>
                  <w:vMerge w:val="restart"/>
                </w:tcPr>
                <w:p>
                  <w:pPr>
                    <w:pStyle w:val="null3"/>
                  </w:pPr>
                  <w:r>
                    <w:rPr>
                      <w:rFonts w:ascii="仿宋_GB2312" w:hAnsi="仿宋_GB2312" w:cs="仿宋_GB2312" w:eastAsia="仿宋_GB2312"/>
                    </w:rPr>
                    <w:t>2</w:t>
                  </w:r>
                </w:p>
              </w:tc>
              <w:tc>
                <w:tcPr>
                  <w:tcW w:type="dxa" w:w="638"/>
                  <w:vMerge w:val="restart"/>
                </w:tcPr>
                <w:p>
                  <w:pPr>
                    <w:pStyle w:val="null3"/>
                  </w:pPr>
                  <w:r>
                    <w:rPr>
                      <w:rFonts w:ascii="仿宋_GB2312" w:hAnsi="仿宋_GB2312" w:cs="仿宋_GB2312" w:eastAsia="仿宋_GB2312"/>
                    </w:rPr>
                    <w:t>出入库信息</w:t>
                  </w:r>
                </w:p>
              </w:tc>
              <w:tc>
                <w:tcPr>
                  <w:tcW w:type="dxa" w:w="638"/>
                </w:tcPr>
                <w:p>
                  <w:pPr>
                    <w:pStyle w:val="null3"/>
                  </w:pPr>
                  <w:r>
                    <w:rPr>
                      <w:rFonts w:ascii="仿宋_GB2312" w:hAnsi="仿宋_GB2312" w:cs="仿宋_GB2312" w:eastAsia="仿宋_GB2312"/>
                    </w:rPr>
                    <w:t>种子、化肥、饲料</w:t>
                  </w:r>
                </w:p>
              </w:tc>
              <w:tc>
                <w:tcPr>
                  <w:tcW w:type="dxa" w:w="638"/>
                </w:tcPr>
                <w:p>
                  <w:pPr>
                    <w:pStyle w:val="null3"/>
                  </w:pPr>
                  <w:r>
                    <w:rPr>
                      <w:rFonts w:ascii="仿宋_GB2312" w:hAnsi="仿宋_GB2312" w:cs="仿宋_GB2312" w:eastAsia="仿宋_GB2312"/>
                    </w:rPr>
                    <w:t>作物名称，品种名称，登记证号，申请者， 育种者（审定单位），品种来源，库存数量， 入库时间，有效期，出库时间</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农、兽药</w:t>
                  </w:r>
                </w:p>
              </w:tc>
              <w:tc>
                <w:tcPr>
                  <w:tcW w:type="dxa" w:w="638"/>
                </w:tcPr>
                <w:p>
                  <w:pPr>
                    <w:pStyle w:val="null3"/>
                  </w:pPr>
                  <w:r>
                    <w:rPr>
                      <w:rFonts w:ascii="仿宋_GB2312" w:hAnsi="仿宋_GB2312" w:cs="仿宋_GB2312" w:eastAsia="仿宋_GB2312"/>
                    </w:rPr>
                    <w:t>药品（商品）名称，品牌名称，通用名称（有效成分名称），登记证号，公司名称，首次批准日期，有效期，药品类型，是否进口，规格，作物/防治对象，安全间隔期，库存数 量，入库时间，出库时间</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用户档案信息</w:t>
                  </w:r>
                </w:p>
              </w:tc>
              <w:tc>
                <w:tcPr>
                  <w:tcW w:type="dxa" w:w="1276"/>
                  <w:gridSpan w:val="2"/>
                </w:tcPr>
                <w:p>
                  <w:pPr>
                    <w:pStyle w:val="null3"/>
                  </w:pPr>
                  <w:r>
                    <w:rPr>
                      <w:rFonts w:ascii="仿宋_GB2312" w:hAnsi="仿宋_GB2312" w:cs="仿宋_GB2312" w:eastAsia="仿宋_GB2312"/>
                    </w:rPr>
                    <w:t>农户名称，身份证，手机号码，地址，创建时间，购买记录</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销售信息</w:t>
                  </w:r>
                </w:p>
              </w:tc>
              <w:tc>
                <w:tcPr>
                  <w:tcW w:type="dxa" w:w="1276"/>
                  <w:gridSpan w:val="2"/>
                </w:tcPr>
                <w:p>
                  <w:pPr>
                    <w:pStyle w:val="null3"/>
                  </w:pPr>
                  <w:r>
                    <w:rPr>
                      <w:rFonts w:ascii="仿宋_GB2312" w:hAnsi="仿宋_GB2312" w:cs="仿宋_GB2312" w:eastAsia="仿宋_GB2312"/>
                    </w:rPr>
                    <w:t>订单号，商品编号，商品数量，商品单价，销售总价，购买人姓名，购买人电话，订单时间，处方记录，规格</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rPr>
              <w:t>四、服务要求</w:t>
            </w:r>
          </w:p>
          <w:p>
            <w:pPr>
              <w:pStyle w:val="null3"/>
            </w:pPr>
            <w:r>
              <w:rPr>
                <w:rFonts w:ascii="仿宋_GB2312" w:hAnsi="仿宋_GB2312" w:cs="仿宋_GB2312" w:eastAsia="仿宋_GB2312"/>
              </w:rPr>
              <w:t>1.售后服务要求</w:t>
            </w:r>
          </w:p>
          <w:p>
            <w:pPr>
              <w:pStyle w:val="null3"/>
            </w:pPr>
            <w:r>
              <w:rPr>
                <w:rFonts w:ascii="仿宋_GB2312" w:hAnsi="仿宋_GB2312" w:cs="仿宋_GB2312" w:eastAsia="仿宋_GB2312"/>
              </w:rPr>
              <w:t>（1）建立有效的运维保障机制和应急响应机制，保证设备出现故障后2小时内能做出反应，简单故障24小时之内解决并恢复；复杂问题48小时之内解决并恢复。</w:t>
            </w:r>
          </w:p>
          <w:p>
            <w:pPr>
              <w:pStyle w:val="null3"/>
            </w:pPr>
            <w:r>
              <w:rPr>
                <w:rFonts w:ascii="仿宋_GB2312" w:hAnsi="仿宋_GB2312" w:cs="仿宋_GB2312" w:eastAsia="仿宋_GB2312"/>
              </w:rPr>
              <w:t>（2）质保期内定期派专业维修人员到现场走访，给予检查维护巡检服务以便保证设备正常稳定运行。</w:t>
            </w:r>
          </w:p>
          <w:p>
            <w:pPr>
              <w:pStyle w:val="null3"/>
            </w:pPr>
            <w:r>
              <w:rPr>
                <w:rFonts w:ascii="仿宋_GB2312" w:hAnsi="仿宋_GB2312" w:cs="仿宋_GB2312" w:eastAsia="仿宋_GB2312"/>
              </w:rPr>
              <w:t>（3）后期维护。项目实施完成验收后三年内，设备及系统发生故障、或因其他原因需要对设备进行迁移，由安装单位负责进行维修、迁移等工作，确保设备正常高效运转。</w:t>
            </w:r>
          </w:p>
          <w:p>
            <w:pPr>
              <w:pStyle w:val="null3"/>
            </w:pPr>
            <w:r>
              <w:rPr>
                <w:rFonts w:ascii="仿宋_GB2312" w:hAnsi="仿宋_GB2312" w:cs="仿宋_GB2312" w:eastAsia="仿宋_GB2312"/>
              </w:rPr>
              <w:t>2.项目培训要求</w:t>
            </w:r>
          </w:p>
          <w:p>
            <w:pPr>
              <w:pStyle w:val="null3"/>
            </w:pPr>
            <w:r>
              <w:rPr>
                <w:rFonts w:ascii="仿宋_GB2312" w:hAnsi="仿宋_GB2312" w:cs="仿宋_GB2312" w:eastAsia="仿宋_GB2312"/>
              </w:rPr>
              <w:t>（1）供应商应制定详尽的培训方案，明确培训目标、内容、方式等培训所需各类资源。</w:t>
            </w:r>
          </w:p>
          <w:p>
            <w:pPr>
              <w:pStyle w:val="null3"/>
            </w:pPr>
            <w:r>
              <w:rPr>
                <w:rFonts w:ascii="仿宋_GB2312" w:hAnsi="仿宋_GB2312" w:cs="仿宋_GB2312" w:eastAsia="仿宋_GB2312"/>
              </w:rPr>
              <w:t>（2）供应商须选派具有一定资质和实践经验，且受过专门训练的专业技术人员负责技术培训工作。</w:t>
            </w:r>
          </w:p>
          <w:p>
            <w:pPr>
              <w:pStyle w:val="null3"/>
            </w:pPr>
            <w:r>
              <w:rPr>
                <w:rFonts w:ascii="仿宋_GB2312" w:hAnsi="仿宋_GB2312" w:cs="仿宋_GB2312" w:eastAsia="仿宋_GB2312"/>
              </w:rPr>
              <w:t>（3）供应商的培训内容包括基本理论和现场操作辅导，培训方式包括技术讲课、操作示范和技术咨询等，确保培训人员对系统基本理论、操作规范、管理维护等方面获得全面了解和掌握。</w:t>
            </w:r>
          </w:p>
          <w:p>
            <w:pPr>
              <w:pStyle w:val="null3"/>
            </w:pPr>
            <w:r>
              <w:rPr>
                <w:rFonts w:ascii="仿宋_GB2312" w:hAnsi="仿宋_GB2312" w:cs="仿宋_GB2312" w:eastAsia="仿宋_GB2312"/>
              </w:rPr>
              <w:t>（4）项目培训采取集中培训和现场培训相结合的方式。</w:t>
            </w:r>
          </w:p>
          <w:p>
            <w:pPr>
              <w:pStyle w:val="null3"/>
            </w:pPr>
            <w:r>
              <w:rPr>
                <w:rFonts w:ascii="仿宋_GB2312" w:hAnsi="仿宋_GB2312" w:cs="仿宋_GB2312" w:eastAsia="仿宋_GB2312"/>
              </w:rPr>
              <w:t>集中培训。在完成整体调试后,由项目供应商负责组织针对使用系统的行业主管单位用户，集中进行使用培训和安全知识培训工作。</w:t>
            </w:r>
          </w:p>
          <w:p>
            <w:pPr>
              <w:pStyle w:val="null3"/>
            </w:pPr>
            <w:r>
              <w:rPr>
                <w:rFonts w:ascii="仿宋_GB2312" w:hAnsi="仿宋_GB2312" w:cs="仿宋_GB2312" w:eastAsia="仿宋_GB2312"/>
              </w:rPr>
              <w:t>现场培训。现场培训针对农资门店从业人员，由供应商在门店设备调试完成的同时，开展现场设备操作及软件平台使用培训工作。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自合同签订之日起3个月内交付验收完成。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参照《财政部关于进一步加强政府采购需求和履约验收管理的指导意见》(财库(2016) 205号，经采购人组织验收。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产品交付并验收合格后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履行本合同引起的或与本合同有关的争议，甲、乙双方应首先通过友好协商解决;如果协商不能解决争议，甲乙双方可采取向甲方所在地仲裁委员会按其仲裁规则申请仲裁或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中标（成交）供应商在中标（成交）结果公告发布后3个工作日内提供叁套纸质响应文件至代理机构（经编标工具生成的文件直接打印并加盖公章），递交的纸质版文件内容确保与线上电子文件保持一致，不允许修改和补充。 2、银行、保险、石油石化、电力、电信等有行业特殊情况的，允许分公司直接参与投标或授权投标，分公司参与投标活动须按照其行业政策规定、参照招标文件要求及投标文件格式执行，授权参与投标的可提供上级公司资质材料等。文件中要求签字或盖章之处，非法人单位均参照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三表一注”，即资产负债表、利润表、现金流量表及其附注，成立时间至提交投标文件截止时间不足一年的可提供成立后任意时段的资产负债表），或其基本存款账户开户银行出具的资信证明及基本存款账户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提供投标截止日前6个月内已缴纳的至少一个月的纳税证明或完税证明（增值税或印花税等税种），依法免税的单位应提供相关证明材料；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法定代表人证明书或授权委托书</w:t>
            </w:r>
          </w:p>
        </w:tc>
        <w:tc>
          <w:tcPr>
            <w:tcW w:type="dxa" w:w="3322"/>
          </w:tcPr>
          <w:p>
            <w:pPr>
              <w:pStyle w:val="null3"/>
            </w:pPr>
            <w:r>
              <w:rPr>
                <w:rFonts w:ascii="仿宋_GB2312" w:hAnsi="仿宋_GB2312" w:cs="仿宋_GB2312" w:eastAsia="仿宋_GB2312"/>
              </w:rPr>
              <w:t>非法定代表人参加投标，须提供法定代表人授权委托书及被授权人身份证原件；法定代表人参加投标时,须提供法人身份证明书及法定代表人身份证原件；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与营业执照等资质、公章名称一致</w:t>
            </w:r>
          </w:p>
        </w:tc>
        <w:tc>
          <w:tcPr>
            <w:tcW w:type="dxa" w:w="1661"/>
          </w:tcPr>
          <w:p>
            <w:pPr>
              <w:pStyle w:val="null3"/>
            </w:pPr>
            <w:r>
              <w:rPr>
                <w:rFonts w:ascii="仿宋_GB2312" w:hAnsi="仿宋_GB2312" w:cs="仿宋_GB2312" w:eastAsia="仿宋_GB2312"/>
              </w:rPr>
              <w:t>业绩.docx 服务内容及服务邀请应答表 培训方案.docx 中小企业声明函 商务应答表 保证金.docx 报价表 供应商承诺书.docx 响应文件封面 售后服务.docx 残疾人福利性单位声明函 总体服务方案.docx 标的清单 供应商资格证明文件.docx 响应函 监狱企业的证明文件 服务质量保障.docx 进度保证.docx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按照采购文件要求签字盖章</w:t>
            </w:r>
          </w:p>
        </w:tc>
        <w:tc>
          <w:tcPr>
            <w:tcW w:type="dxa" w:w="1661"/>
          </w:tcPr>
          <w:p>
            <w:pPr>
              <w:pStyle w:val="null3"/>
            </w:pPr>
            <w:r>
              <w:rPr>
                <w:rFonts w:ascii="仿宋_GB2312" w:hAnsi="仿宋_GB2312" w:cs="仿宋_GB2312" w:eastAsia="仿宋_GB2312"/>
              </w:rPr>
              <w:t>业绩.docx 服务内容及服务邀请应答表 培训方案.docx 中小企业声明函 商务应答表 保证金.docx 报价表 供应商承诺书.docx 响应文件封面 售后服务.docx 残疾人福利性单位声明函 总体服务方案.docx 标的清单 供应商资格证明文件.docx 响应函 监狱企业的证明文件 服务质量保障.docx 进度保证.docx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报价唯一且未超过预算金额</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按照采购文件要求缴纳</w:t>
            </w:r>
          </w:p>
        </w:tc>
        <w:tc>
          <w:tcPr>
            <w:tcW w:type="dxa" w:w="1661"/>
          </w:tcPr>
          <w:p>
            <w:pPr>
              <w:pStyle w:val="null3"/>
            </w:pPr>
            <w:r>
              <w:rPr>
                <w:rFonts w:ascii="仿宋_GB2312" w:hAnsi="仿宋_GB2312" w:cs="仿宋_GB2312" w:eastAsia="仿宋_GB2312"/>
              </w:rPr>
              <w:t>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服务期限、响应有效期等符合采购文件要求</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完全理解并接受法律法规和采购文件对供应商合法经营的各类规约和责任义务要求，未出现法律、法规或采购文件规定的其他无效情形的。</w:t>
            </w:r>
          </w:p>
        </w:tc>
        <w:tc>
          <w:tcPr>
            <w:tcW w:type="dxa" w:w="1661"/>
          </w:tcPr>
          <w:p>
            <w:pPr>
              <w:pStyle w:val="null3"/>
            </w:pPr>
            <w:r>
              <w:rPr>
                <w:rFonts w:ascii="仿宋_GB2312" w:hAnsi="仿宋_GB2312" w:cs="仿宋_GB2312" w:eastAsia="仿宋_GB2312"/>
              </w:rPr>
              <w:t>业绩.docx 服务内容及服务邀请应答表 培训方案.docx 中小企业声明函 商务应答表 保证金.docx 报价表 供应商承诺书.docx 响应文件封面 售后服务.docx 残疾人福利性单位声明函 总体服务方案.docx 标的清单 供应商资格证明文件.docx 响应函 监狱企业的证明文件 服务质量保障.docx 进度保证.docx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服务要求响应</w:t>
            </w:r>
          </w:p>
        </w:tc>
        <w:tc>
          <w:tcPr>
            <w:tcW w:type="dxa" w:w="2492"/>
          </w:tcPr>
          <w:p>
            <w:pPr>
              <w:pStyle w:val="null3"/>
            </w:pPr>
            <w:r>
              <w:rPr>
                <w:rFonts w:ascii="仿宋_GB2312" w:hAnsi="仿宋_GB2312" w:cs="仿宋_GB2312" w:eastAsia="仿宋_GB2312"/>
              </w:rPr>
              <w:t>服务内容全部满足采购文件要求得20分，主要条款（▲条款）不满足（负偏离）每项扣1分，普通条款不满足（负偏离）每项扣0.5分，扣完为止。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针对本项目提供具体完整的服务方案（包括但不限于①服务计划②服务目标③服务范围④项目实施运行管理方案⑤维护、巡检、扩展、升级等方案⑥针对突发事件，有具体可行的应急措施和解决方案⑦整体功能、对本项目建设的要点、需求分析等方面）进行评审： 总体服务方案完整，完全包含以上七项且满足实际工作需求，每一项内容描述详细内容全面得14分，每缺少一项扣2分，每有一项缺陷(缺陷是指不适用项目实际情况、凭空编造、存在逻辑洞、科学原理错误、不可能实现的夸大情形以及涉及的规范、标准与本项目要求不一致等)扣1分，扣完为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总体服务方案.docx</w:t>
            </w:r>
          </w:p>
        </w:tc>
      </w:tr>
      <w:tr>
        <w:tc>
          <w:tcPr>
            <w:tcW w:type="dxa" w:w="831"/>
            <w:vMerge/>
          </w:tcPr>
          <w:p/>
        </w:tc>
        <w:tc>
          <w:tcPr>
            <w:tcW w:type="dxa" w:w="1661"/>
          </w:tcPr>
          <w:p>
            <w:pPr>
              <w:pStyle w:val="null3"/>
            </w:pPr>
            <w:r>
              <w:rPr>
                <w:rFonts w:ascii="仿宋_GB2312" w:hAnsi="仿宋_GB2312" w:cs="仿宋_GB2312" w:eastAsia="仿宋_GB2312"/>
              </w:rPr>
              <w:t>进度保证</w:t>
            </w:r>
          </w:p>
        </w:tc>
        <w:tc>
          <w:tcPr>
            <w:tcW w:type="dxa" w:w="2492"/>
          </w:tcPr>
          <w:p>
            <w:pPr>
              <w:pStyle w:val="null3"/>
            </w:pPr>
            <w:r>
              <w:rPr>
                <w:rFonts w:ascii="仿宋_GB2312" w:hAnsi="仿宋_GB2312" w:cs="仿宋_GB2312" w:eastAsia="仿宋_GB2312"/>
              </w:rPr>
              <w:t>针对本项目提供具体完整的进度保证措施(包括但不限于①进度保证方案②项目过程监督管控措施③项目实施总体进度安排④风险管控方案等)进行评审： 进度保证完整，完全包含以上四项且满足实际工作需求，每一项内容描述详细内容全面得8分，每缺少一项扣2分，每有一项缺陷(缺陷是指不适用项目实际情况、凭空编造、存在逻辑洞、科学原理错误、不可能实现的夸大情形以及涉及的规范、标准与本项目要求不一致等)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进度保证.docx</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针对本项目提供具体完整的服务质量保障（包括但不限于①服务巡检计划②服务质量承诺③明确保修期限、保修期内的保修内容与范围等内容④具备本地化服务能力⑤平台运行故障控制等方面）进行评审： 服务质量保障完整，完全包含以上五项且满足实际工作需求，每一项内容描述详细内容全面得10分，每缺少一项扣2分，每有一项缺陷(缺陷是指不适用项目实际情况、凭空编造、存在逻辑洞、科学原理错误、不可能实现的夸大情形以及涉及的规范、标准与本项目要求不一致等)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服务质量保障.docx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针对本项目提供具体完整的培训方案（包括但不限于①培训方式②培训时间③培训地点④培训人员⑤培训内容等方面）进行评审： 培训方案完整，完全包含以上五项且满足实际工作需求，每一项内容描述详细内容全面得15分，每缺少一项扣3分，每有一项缺陷(缺陷是指不适用项目实际情况、凭空编造、存在逻辑洞、科学原理错误、不可能实现的夸大情形以及涉及的规范、标准与本项目要求不一致等)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针对本项目提供具体完整的售后服务方案（包括但不限于①售后服务网点的设定②拟投入售后服务人员配置情况③日常维护④项目交付用户后出现故障响应时间及措施⑤备品备件计划⑥质量保证范围）进行评审： 售后服务完整，完全包含以上六项且满足实际工作需求，每一项内容描述详细内容全面得15分，每缺少一项扣2.5分，每有一项缺陷(缺陷是指不适用项目实际情况、凭空编造、存在逻辑洞、科学原理错误、不可能实现的夸大情形以及涉及的规范、标准与本项目要求不一致等)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提供近三年（2022年12月至今）签署的类似项目业绩。每提供一项得2分（以加盖公章的中标通知书或合同复印件为准），满分8分。未提供不得分。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磋商文件要求且最后报价最低的供应商的价格为磋商基准价，其价格分为满分。其他供应商的价格分统一按照下列公式计算：磋商报价得分=10×（磋商基准价/最后磋商报价） 价格分计算：四舍五入，保留两位小数。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详见附件：总体服务方案.docx</w:t>
      </w:r>
    </w:p>
    <w:p>
      <w:pPr>
        <w:pStyle w:val="null3"/>
        <w:ind w:firstLine="960"/>
      </w:pPr>
      <w:r>
        <w:rPr>
          <w:rFonts w:ascii="仿宋_GB2312" w:hAnsi="仿宋_GB2312" w:cs="仿宋_GB2312" w:eastAsia="仿宋_GB2312"/>
        </w:rPr>
        <w:t>详见附件：进度保证.docx</w:t>
      </w:r>
    </w:p>
    <w:p>
      <w:pPr>
        <w:pStyle w:val="null3"/>
        <w:ind w:firstLine="960"/>
      </w:pPr>
      <w:r>
        <w:rPr>
          <w:rFonts w:ascii="仿宋_GB2312" w:hAnsi="仿宋_GB2312" w:cs="仿宋_GB2312" w:eastAsia="仿宋_GB2312"/>
        </w:rPr>
        <w:t>详见附件：服务质量保障.docx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详见附件：保证金.docx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