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版本号：DQZ2025-CG-06120251209002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蒲城县2025年中央水利发展资金水利工程设施维修养护（水质提升工程）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DQZ2025-CG-061</w:t>
      </w:r>
      <w:r>
        <w:br/>
      </w:r>
      <w:r>
        <w:br/>
      </w:r>
      <w:r>
        <w:br/>
      </w:r>
    </w:p>
    <w:p>
      <w:pPr>
        <w:pStyle w:val="null3"/>
        <w:jc w:val="center"/>
        <w:outlineLvl w:val="2"/>
      </w:pPr>
      <w:r>
        <w:rPr>
          <w:rFonts w:ascii="仿宋_GB2312" w:hAnsi="仿宋_GB2312" w:cs="仿宋_GB2312" w:eastAsia="仿宋_GB2312"/>
          <w:sz w:val="28"/>
          <w:b/>
        </w:rPr>
        <w:t>蒲城县水务局</w:t>
      </w:r>
    </w:p>
    <w:p>
      <w:pPr>
        <w:pStyle w:val="null3"/>
        <w:jc w:val="center"/>
        <w:outlineLvl w:val="2"/>
      </w:pPr>
      <w:r>
        <w:rPr>
          <w:rFonts w:ascii="仿宋_GB2312" w:hAnsi="仿宋_GB2312" w:cs="仿宋_GB2312" w:eastAsia="仿宋_GB2312"/>
          <w:sz w:val="28"/>
          <w:b/>
        </w:rPr>
        <w:t>陕西鼎启正建设项目管理有限公司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陕西鼎启正建设项目管理有限公司</w:t>
      </w:r>
      <w:r>
        <w:rPr>
          <w:rFonts w:ascii="仿宋_GB2312" w:hAnsi="仿宋_GB2312" w:cs="仿宋_GB2312" w:eastAsia="仿宋_GB2312"/>
        </w:rPr>
        <w:t>（以下简称“代理机构”）受</w:t>
      </w:r>
      <w:r>
        <w:rPr>
          <w:rFonts w:ascii="仿宋_GB2312" w:hAnsi="仿宋_GB2312" w:cs="仿宋_GB2312" w:eastAsia="仿宋_GB2312"/>
        </w:rPr>
        <w:t>蒲城县水务局</w:t>
      </w:r>
      <w:r>
        <w:rPr>
          <w:rFonts w:ascii="仿宋_GB2312" w:hAnsi="仿宋_GB2312" w:cs="仿宋_GB2312" w:eastAsia="仿宋_GB2312"/>
        </w:rPr>
        <w:t>委托，拟对</w:t>
      </w:r>
      <w:r>
        <w:rPr>
          <w:rFonts w:ascii="仿宋_GB2312" w:hAnsi="仿宋_GB2312" w:cs="仿宋_GB2312" w:eastAsia="仿宋_GB2312"/>
        </w:rPr>
        <w:t>蒲城县2025年中央水利发展资金水利工程设施维修养护（水质提升工程）</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DQZ2025-CG-061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蒲城县2025年中央水利发展资金水利工程设施维修养护（水质提升工程）</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完善供水站水质提升，提高水质达标率，本项目拟采购4套全自动次氯酸钠发生器、4套水质日检9项检测仪器设备；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采购包1（蒲城县2025年中央水利发展资金水利工程设施维修养护（水质提升工程））：属于专门面向中小企业采购。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1、营业执照：供应商为合法注册的法人、其他组织或自然人，具有独立承担民事责任的能力，提供统一社会信用代码的营业执照等证明文件；</w:t>
      </w:r>
    </w:p>
    <w:p>
      <w:pPr>
        <w:pStyle w:val="null3"/>
      </w:pPr>
      <w:r>
        <w:rPr>
          <w:rFonts w:ascii="仿宋_GB2312" w:hAnsi="仿宋_GB2312" w:cs="仿宋_GB2312" w:eastAsia="仿宋_GB2312"/>
        </w:rPr>
        <w:t>2、法定代表人身份证明书或授权委托书：提供法定代表人授权委托书（附法定代表人、被授权人身份证复印件）；法定代表人参加投标只须提供法定代表人身份证明（附法定代表人身份证复印件）；</w:t>
      </w:r>
    </w:p>
    <w:p>
      <w:pPr>
        <w:pStyle w:val="null3"/>
      </w:pPr>
      <w:r>
        <w:rPr>
          <w:rFonts w:ascii="仿宋_GB2312" w:hAnsi="仿宋_GB2312" w:cs="仿宋_GB2312" w:eastAsia="仿宋_GB2312"/>
        </w:rPr>
        <w:t>3、财务状况报告：提供2024年度经审计的财务报告或开标前近三个月内基本开户银行开具的资信证明（成立时间至提交投标文件截止时间不足一年的可提供成立后任意时段的财务报表）：</w:t>
      </w:r>
    </w:p>
    <w:p>
      <w:pPr>
        <w:pStyle w:val="null3"/>
      </w:pPr>
      <w:r>
        <w:rPr>
          <w:rFonts w:ascii="仿宋_GB2312" w:hAnsi="仿宋_GB2312" w:cs="仿宋_GB2312" w:eastAsia="仿宋_GB2312"/>
        </w:rPr>
        <w:t>4、税收缴纳证明：提供依法缴纳税收的良好记录（提供投标截止时间前六个月内任意一个月份的缴纳凭据复印件并加盖单位公章。依法免税或开标前一年内零申报的投标人应提供相关证明文件）</w:t>
      </w:r>
    </w:p>
    <w:p>
      <w:pPr>
        <w:pStyle w:val="null3"/>
      </w:pPr>
      <w:r>
        <w:rPr>
          <w:rFonts w:ascii="仿宋_GB2312" w:hAnsi="仿宋_GB2312" w:cs="仿宋_GB2312" w:eastAsia="仿宋_GB2312"/>
        </w:rPr>
        <w:t>5、社会保障资金缴纳证明：提供依法缴纳社会保障资金的良好记录（提供投标截止时间前六个月内任意一个月份的缴纳凭据复印件并加盖单位公章。依法不需要缴纳社会保障资金的投标人应提供相关证明文件）</w:t>
      </w:r>
    </w:p>
    <w:p>
      <w:pPr>
        <w:pStyle w:val="null3"/>
      </w:pPr>
      <w:r>
        <w:rPr>
          <w:rFonts w:ascii="仿宋_GB2312" w:hAnsi="仿宋_GB2312" w:cs="仿宋_GB2312" w:eastAsia="仿宋_GB2312"/>
        </w:rPr>
        <w:t>6、信用查询：投标截止日前不得为“信用中国”网站（www.creditchina.gov.cn）中列入失信被执行人、重大税收违法失信主体和政府采购严重违法失信行为记录名单的投标人；不得为“中国政府采购网”（www.ccgp.gov.cn）政府采购严重违法失信行为记录名单中被财政部门禁止参加政府采购活动的投标人。附网站相关截图并加盖单位公章（最终以采购代理机构开标现场查询结果为准）</w:t>
      </w:r>
    </w:p>
    <w:p>
      <w:pPr>
        <w:pStyle w:val="null3"/>
      </w:pPr>
      <w:r>
        <w:rPr>
          <w:rFonts w:ascii="仿宋_GB2312" w:hAnsi="仿宋_GB2312" w:cs="仿宋_GB2312" w:eastAsia="仿宋_GB2312"/>
        </w:rPr>
        <w:t>7、声明函：提供近三年内在经营活动中无重大违法记录的书面声明：</w:t>
      </w:r>
    </w:p>
    <w:p>
      <w:pPr>
        <w:pStyle w:val="null3"/>
      </w:pPr>
      <w:r>
        <w:rPr>
          <w:rFonts w:ascii="仿宋_GB2312" w:hAnsi="仿宋_GB2312" w:cs="仿宋_GB2312" w:eastAsia="仿宋_GB2312"/>
        </w:rPr>
        <w:t>8、具有履行合同的声明：提供具有履行本合同所必需的设备和专业技术能力的说明及承诺；</w:t>
      </w:r>
    </w:p>
    <w:p>
      <w:pPr>
        <w:pStyle w:val="null3"/>
      </w:pPr>
      <w:r>
        <w:rPr>
          <w:rFonts w:ascii="仿宋_GB2312" w:hAnsi="仿宋_GB2312" w:cs="仿宋_GB2312" w:eastAsia="仿宋_GB2312"/>
        </w:rPr>
        <w:t>9、资质要求：投标人为生产厂家的须具备有效的涉水产品卫生许可批件；投标人为代理经销商的，须提供生产厂家的有效的涉水产品卫生许可批件（核心产品）。</w:t>
      </w:r>
    </w:p>
    <w:p>
      <w:pPr>
        <w:pStyle w:val="null3"/>
      </w:pPr>
      <w:r>
        <w:rPr>
          <w:rFonts w:ascii="仿宋_GB2312" w:hAnsi="仿宋_GB2312" w:cs="仿宋_GB2312" w:eastAsia="仿宋_GB2312"/>
        </w:rPr>
        <w:t>10、保证金转账凭证：提供投标保证金银行转账凭证及基本账户信息复印件，复印件均须加盖公章：</w:t>
      </w:r>
    </w:p>
    <w:p>
      <w:pPr>
        <w:pStyle w:val="null3"/>
      </w:pPr>
      <w:r>
        <w:rPr>
          <w:rFonts w:ascii="仿宋_GB2312" w:hAnsi="仿宋_GB2312" w:cs="仿宋_GB2312" w:eastAsia="仿宋_GB2312"/>
        </w:rPr>
        <w:t>11、声明函：本项目专门面向中小企业采购，投标人须提供《中小企业声明函》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蒲城县水务局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陕西省渭南市蒲城县西府巷6号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代博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15191315444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陕西鼎启正建设项目管理有限公司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陕西省西安市未央区陕西省西安市经济技术开发区凤城四路103号世融嘉轩21号楼世融国际1405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曾萍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15619641719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蒲城县政府采购管理股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惠娜娜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13892323567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开户名称：陕西鼎启正建设项目管理有限公司</w:t>
            </w:r>
          </w:p>
          <w:p>
            <w:pPr>
              <w:pStyle w:val="null3"/>
            </w:pPr>
            <w:r>
              <w:rPr>
                <w:rFonts w:ascii="仿宋_GB2312" w:hAnsi="仿宋_GB2312" w:cs="仿宋_GB2312" w:eastAsia="仿宋_GB2312"/>
              </w:rPr>
              <w:t>开户银行：西安银行股份有限公司文景路支行</w:t>
            </w:r>
          </w:p>
          <w:p>
            <w:pPr>
              <w:pStyle w:val="null3"/>
            </w:pPr>
            <w:r>
              <w:rPr>
                <w:rFonts w:ascii="仿宋_GB2312" w:hAnsi="仿宋_GB2312" w:cs="仿宋_GB2312" w:eastAsia="仿宋_GB2312"/>
              </w:rPr>
              <w:t>银行账号：707011580000215539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蒲城县水务局</w:t>
      </w:r>
      <w:r>
        <w:rPr>
          <w:rFonts w:ascii="仿宋_GB2312" w:hAnsi="仿宋_GB2312" w:cs="仿宋_GB2312" w:eastAsia="仿宋_GB2312"/>
        </w:rPr>
        <w:t>和</w:t>
      </w:r>
      <w:r>
        <w:rPr>
          <w:rFonts w:ascii="仿宋_GB2312" w:hAnsi="仿宋_GB2312" w:cs="仿宋_GB2312" w:eastAsia="仿宋_GB2312"/>
        </w:rPr>
        <w:t>陕西鼎启正建设项目管理有限公司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蒲城县水务局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陕西鼎启正建设项目管理有限公司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蒲城县水务局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陕西鼎启正建设项目管理有限公司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1.所供产品的规格、数量符合采购文件、供应商承诺及采购合同约定的要求。 2.所有货物均已运输至指定地点，并安装调试完毕。 3.采购文件、供应商承诺及采购合同约定的附件、工具、技术资料等齐全；提供产品使用说明书、合格证。 验收方法：初验：货物到达交货地点后，由使用单位根据合同对货物的名称、品牌、规格、型号、产地、数量进行检查。 终验：所有货物(货物)安装、调试完毕，正常使用30个日历日后，由采购人进行终验（最终验收），合格后签发《终验合格单》。 验收不合格的中标单位，必须在接到通知后7个日历日内确保货物通过验收。如接到通知后7个日历日内验收仍不合格，采购人可提出索赔或取消其供货合同。采购人或采购代理机构将把中标资格授予评审排序下一名的中标单位。</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陕西鼎启正建设项目管理有限公司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陕西鼎启正建设项目管理有限公司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陕西鼎启正建设项目管理有限公司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联系人：彭统贤</w:t>
      </w:r>
    </w:p>
    <w:p>
      <w:pPr>
        <w:pStyle w:val="null3"/>
      </w:pPr>
      <w:r>
        <w:rPr>
          <w:rFonts w:ascii="仿宋_GB2312" w:hAnsi="仿宋_GB2312" w:cs="仿宋_GB2312" w:eastAsia="仿宋_GB2312"/>
        </w:rPr>
        <w:t>联系电话：18049361409</w:t>
      </w:r>
    </w:p>
    <w:p>
      <w:pPr>
        <w:pStyle w:val="null3"/>
      </w:pPr>
      <w:r>
        <w:rPr>
          <w:rFonts w:ascii="仿宋_GB2312" w:hAnsi="仿宋_GB2312" w:cs="仿宋_GB2312" w:eastAsia="仿宋_GB2312"/>
        </w:rPr>
        <w:t>地址：陕西省西安市经济技术开发区凤城四路103号世融嘉轩21号楼世融国际1405</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完善供水站水质提升，提高水质达标率，本项目拟采购4套全自动次氯酸钠发生器、4套水质日检9项检测仪器设备；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2025年中央水利发展资金水利工程设施维修养护（水质提升工程）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标的名称：2025年中央水利发展资金水利工程设施维修养护（水质提升工程）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次氯酸钠发生器（核心产品）产氯量： 1、50g/h1、主机制备氯产量50g/h,N=0.5kW,电解槽1只； 2、电解电源，220VAC，0.25KW 1套 3、清水箱，PVC材质，配套配套低液位传感器、过滤器、补水阀 1套 4、溶盐系统，溶盐箱，PVC材质，配套盐水泵，最大流量:25L/min,最大扬程：2m，功率26W及安装附件1套； 5、浓盐水流量计，量程6~60ml/min 1台 6、稀释水流量计，量程16~160ml/min 1台 7、次氯酸钠储液罐，PVC材质，配套高中低液位信号及投加泵缺液保护 1套； 8、加氯投加泵9L/h，40W, 1台。 9、余氯在线分析仪，量程0~5mg/L，4~20ma输出 1台 9、配套控制系统1套 10、配套阀门管件1套</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便携式水质综合检测箱： 用于自来水出厂水浑浊度、色度、臭和味、肉眼可见物、高锰酸盐指数、菌落总数、总大肠菌群、氨(以N计）、游离氯９项指标的日常检测</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合同签订后30日历天内供货完成，并安装调试到位。</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终验合格后（具体付款以县财政资金拨付到位为依据）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终验合格一年后（具体付款以县财政资金拨付到位为依据）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1.所供产品的规格、数量符合采购文件、供应商承诺及采购合同约定的要求。 2.所有货物均已运输至指定地点，并安装调试完毕。 3.采购文件、供应商承诺及采购合同约定的附件、工具、技术资料等齐全；提供产品使用说明书、合格证。 验收方法：初验：货物到达交货地点后，由使用单位根据合同对货物的名称、品牌、规格、型号、产地、数量进行检查。 终验：所有货物(货物)安装、调试完毕，正常使用30个日历日后，由采购人进行终验（最终验收），合格后签发《终验合格单》。 验收不合格的中标单位，必须在接到通知后7个日历日内确保货物通过验收。如接到通知后7个日历日内验收仍不合格，采购人可提出索赔或取消其供货合同。采购人或采购代理机构将把中标资格授予评审排序下一名的中标单位。</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蒲城县2025年中央水利发展资金水利工程设施维修养护（水质提升工程）包含的所有内容。 质保期：自验收合格之日起一年。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1、投标时投标人无需提供纸质版投标文件。中标人在领取中标通知书前须提供纸质版投标文件3份、电子版（U 盘）文件1份，打印盖章后提交至采购代理公司处，以便采购人进行留存备案等工作，中标人应保持投标文件纸质版内容与电子版内容完全一致，否则将承担一切法律责任。纸质版投标文件一律采用（胶装）方式装订且单面或双面打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中小企业声明函 商务应答表 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资格证明资料.docx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供应商为合法注册的法人、其他组织或自然人，具有独立承担民事责任的能力，提供统一社会信用代码的营业执照等证明文件；</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法定代表人身份证明书或授权委托书</w:t>
            </w:r>
          </w:p>
        </w:tc>
        <w:tc>
          <w:tcPr>
            <w:tcW w:type="dxa" w:w="3322"/>
          </w:tcPr>
          <w:p>
            <w:pPr>
              <w:pStyle w:val="null3"/>
            </w:pPr>
            <w:r>
              <w:rPr>
                <w:rFonts w:ascii="仿宋_GB2312" w:hAnsi="仿宋_GB2312" w:cs="仿宋_GB2312" w:eastAsia="仿宋_GB2312"/>
              </w:rPr>
              <w:t>提供法定代表人授权委托书（附法定代表人、被授权人身份证复印件）；法定代表人参加投标只须提供法定代表人身份证明（附法定代表人身份证复印件）；</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提供2024年度经审计的财务报告或开标前近三个月内基本开户银行开具的资信证明（成立时间至提交投标文件截止时间不足一年的可提供成立后任意时段的财务报表）：</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提供依法缴纳税收的良好记录（提供投标截止时间前六个月内任意一个月份的缴纳凭据复印件并加盖单位公章。依法免税或开标前一年内零申报的投标人应提供相关证明文件）</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提供依法缴纳社会保障资金的良好记录（提供投标截止时间前六个月内任意一个月份的缴纳凭据复印件并加盖单位公章。依法不需要缴纳社会保障资金的投标人应提供相关证明文件）</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失信主体和政府采购严重违法失信行为记录名单的投标人；不得为“中国政府采购网”（www.ccgp.gov.cn）政府采购严重违法失信行为记录名单中被财政部门禁止参加政府采购活动的投标人。附网站相关截图并加盖单位公章（最终以采购代理机构开标现场查询结果为准）</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投标人为生产厂家的须具备有效的涉水产品卫生许可批件；投标人为代理经销商的，须提供生产厂家的有效的涉水产品卫生许可批件（核心产品）。</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保证金转账凭证</w:t>
            </w:r>
          </w:p>
        </w:tc>
        <w:tc>
          <w:tcPr>
            <w:tcW w:type="dxa" w:w="3322"/>
          </w:tcPr>
          <w:p>
            <w:pPr>
              <w:pStyle w:val="null3"/>
            </w:pPr>
            <w:r>
              <w:rPr>
                <w:rFonts w:ascii="仿宋_GB2312" w:hAnsi="仿宋_GB2312" w:cs="仿宋_GB2312" w:eastAsia="仿宋_GB2312"/>
              </w:rPr>
              <w:t>提供投标保证金银行转账凭证及基本账户信息复印件，复印件均须加盖公章：</w:t>
            </w:r>
          </w:p>
        </w:tc>
        <w:tc>
          <w:tcPr>
            <w:tcW w:type="dxa" w:w="1661"/>
          </w:tcPr>
          <w:p>
            <w:pPr>
              <w:pStyle w:val="null3"/>
            </w:pPr>
            <w:r>
              <w:rPr>
                <w:rFonts w:ascii="仿宋_GB2312" w:hAnsi="仿宋_GB2312" w:cs="仿宋_GB2312" w:eastAsia="仿宋_GB2312"/>
              </w:rPr>
              <w:t>投标函 资格证明资料.docx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本项目专门面向中小企业采购，投标人须提供《中小企业声明函》</w:t>
            </w:r>
          </w:p>
        </w:tc>
        <w:tc>
          <w:tcPr>
            <w:tcW w:type="dxa" w:w="1661"/>
          </w:tcPr>
          <w:p>
            <w:pPr>
              <w:pStyle w:val="null3"/>
            </w:pPr>
            <w:r>
              <w:rPr>
                <w:rFonts w:ascii="仿宋_GB2312" w:hAnsi="仿宋_GB2312" w:cs="仿宋_GB2312" w:eastAsia="仿宋_GB2312"/>
              </w:rPr>
              <w:t>投标函 中小企业声明函 资格证明资料.docx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投标文件按招标文件要求进行签章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应符合“招标文件格式”要求</w:t>
            </w:r>
          </w:p>
        </w:tc>
        <w:tc>
          <w:tcPr>
            <w:tcW w:type="dxa" w:w="1661"/>
          </w:tcPr>
          <w:p>
            <w:pPr>
              <w:pStyle w:val="null3"/>
            </w:pPr>
            <w:r>
              <w:rPr>
                <w:rFonts w:ascii="仿宋_GB2312" w:hAnsi="仿宋_GB2312" w:cs="仿宋_GB2312" w:eastAsia="仿宋_GB2312"/>
              </w:rPr>
              <w:t>开标一览表 投标函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1、报价唯一，且不能高于最高限价。 2、投标人的报价明显低于其他通过符合性审查投标人的报价时，按照财政部87号令第六十条的相关规定进行处理。</w:t>
            </w:r>
          </w:p>
        </w:tc>
        <w:tc>
          <w:tcPr>
            <w:tcW w:type="dxa" w:w="1661"/>
          </w:tcPr>
          <w:p>
            <w:pPr>
              <w:pStyle w:val="null3"/>
            </w:pPr>
            <w:r>
              <w:rPr>
                <w:rFonts w:ascii="仿宋_GB2312" w:hAnsi="仿宋_GB2312" w:cs="仿宋_GB2312" w:eastAsia="仿宋_GB2312"/>
              </w:rPr>
              <w:t>开标一览表 分项报价表.docx 产品技术参数表 投标函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应满足招标文件中要求的供货期</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所投产品技术参数清楚、明确并能逐条响应并满足招标文件第三章“技术服务”中所有参数要求，得15分。其中:每项负偏离一项扣0.5分，扣完为止。 备注：技术参数佐证材料例如：第三方检测报告或厂家检测报告或产品说明书或产品彩页或官网介绍截图等内容，并加盖供应商公章，予以证明其技术参数的响应性。</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技术响应偏离表.docx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1、实施方案包含：①项目进度安排；②运输、安装及调试组织措施；③应急处理措施。 2、赋分标准（15分）： 每项评审内容不存在缺陷得5分，满分15分；每项评审内容每存在一处缺陷扣0.5分，扣完为止；未提供不得分。（说明：存在下列情形之一的属于内容缺陷：①内容与项目需求不吻合、层次未细化的；②阐述未从实际出发，不切合项目背景、项目需求的；③存在抄袭或套用其他地区内容或与本项目无关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1、质量保证包含：①响应产品提供合法来源渠道证明材料；②产品生产质量保障措施；③产品运输质量保障措施。④所投产品的合法来源渠道证明文件或情况说明； 2、赋分标准（16分）： 每项评审内容不存在缺陷得4分，满分16分；每项评审内容每存在一处缺陷扣0.5分，扣完为止；未提供不得分。（说明：存在下列情形之一的属于内容缺陷：①内容与项目需求不吻合、层次未细化的；②阐述未从实际出发，不切合项目背景、项目需求的；③存在抄袭或套用其他地区内容或与本项目无关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1、售后服务包含：①售后服务机构情况及内容；②售后服务人员安排；③售后服务响应时间与处理时间。 2、赋分标准（12分）： 每项评审内容不存在缺陷得4分，满分12分；每项评审内容每存在一处缺陷扣0.5分，扣完为止；未提供不得分。（说明：存在下列情形之一的属于内容缺陷：①内容与项目需求不吻合、层次未细化的；②阐述未从实际出发，不切合项目背景、项目需求的；③存在抄袭或套用其他地区内容或与本项目无关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售后承诺</w:t>
            </w:r>
          </w:p>
        </w:tc>
        <w:tc>
          <w:tcPr>
            <w:tcW w:type="dxa" w:w="2492"/>
          </w:tcPr>
          <w:p>
            <w:pPr>
              <w:pStyle w:val="null3"/>
            </w:pPr>
            <w:r>
              <w:rPr>
                <w:rFonts w:ascii="仿宋_GB2312" w:hAnsi="仿宋_GB2312" w:cs="仿宋_GB2312" w:eastAsia="仿宋_GB2312"/>
              </w:rPr>
              <w:t>制定详细可行、针对本项目的售后承诺，每提出一项得1分，最高得4分，未提供不得分。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售后承诺.docx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供应商具有近三年（2022年1月至今）的类似项目业绩，每提供1个业绩得2分，本项目最高得8分。（以合同签订时间为准。）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满足招标文件要求且最后报价最低的供应商的价格为基准价得30分，其他各供应商的最后报价得分按下列公式计算： 投标报价得分=（投标基准价/投标报价）×30%×100。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详见附件：质量保证方案.docx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详见附件：售后承诺.docx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