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版本号：LTZB-PC2025070120250709001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蒲城县耕地恢复潜力调查评价项目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LTZB-PC20250701</w:t>
      </w:r>
      <w:r>
        <w:br/>
      </w:r>
      <w:r>
        <w:br/>
      </w:r>
      <w:r>
        <w:br/>
      </w:r>
    </w:p>
    <w:p>
      <w:pPr>
        <w:pStyle w:val="null3"/>
        <w:jc w:val="center"/>
        <w:outlineLvl w:val="2"/>
      </w:pPr>
      <w:r>
        <w:rPr>
          <w:rFonts w:ascii="仿宋_GB2312" w:hAnsi="仿宋_GB2312" w:cs="仿宋_GB2312" w:eastAsia="仿宋_GB2312"/>
          <w:sz w:val="28"/>
          <w:b/>
        </w:rPr>
        <w:t>蒲城县自然资源局</w:t>
      </w:r>
    </w:p>
    <w:p>
      <w:pPr>
        <w:pStyle w:val="null3"/>
        <w:jc w:val="center"/>
        <w:outlineLvl w:val="2"/>
      </w:pPr>
      <w:r>
        <w:rPr>
          <w:rFonts w:ascii="仿宋_GB2312" w:hAnsi="仿宋_GB2312" w:cs="仿宋_GB2312" w:eastAsia="仿宋_GB2312"/>
          <w:sz w:val="28"/>
          <w:b/>
        </w:rPr>
        <w:t>兰天项目管理有限公司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兰天项目管理有限公司</w:t>
      </w:r>
      <w:r>
        <w:rPr>
          <w:rFonts w:ascii="仿宋_GB2312" w:hAnsi="仿宋_GB2312" w:cs="仿宋_GB2312" w:eastAsia="仿宋_GB2312"/>
        </w:rPr>
        <w:t>（以下简称“代理机构”）受</w:t>
      </w:r>
      <w:r>
        <w:rPr>
          <w:rFonts w:ascii="仿宋_GB2312" w:hAnsi="仿宋_GB2312" w:cs="仿宋_GB2312" w:eastAsia="仿宋_GB2312"/>
        </w:rPr>
        <w:t>蒲城县自然资源局</w:t>
      </w:r>
      <w:r>
        <w:rPr>
          <w:rFonts w:ascii="仿宋_GB2312" w:hAnsi="仿宋_GB2312" w:cs="仿宋_GB2312" w:eastAsia="仿宋_GB2312"/>
        </w:rPr>
        <w:t>委托，拟对</w:t>
      </w:r>
      <w:r>
        <w:rPr>
          <w:rFonts w:ascii="仿宋_GB2312" w:hAnsi="仿宋_GB2312" w:cs="仿宋_GB2312" w:eastAsia="仿宋_GB2312"/>
        </w:rPr>
        <w:t>蒲城县耕地恢复潜力调查评价项目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LTZB-PC20250701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蒲城县耕地恢复潜力调查评价项目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为贯彻落实党中央、国务院关于严格耕地保护和粮食安全的决策部署，切实扛起 耕地保护责任，根据《自然资源部财政部关于实行耕地保护责任目标考核奖惩工作的 通知》(自然资发〔2023)246 号〕,《陕西省财政厅关于协同推进2024年财政资 源领域重点工作的函》(陕财办资环函〔2024)2号〕等文件精神，由省厅牵头编制 《陕西省耕地恢复专项规划(2023-2027 年)》。为全面深入摸清我省耕地恢复潜力 状况，从地块条件、恢复成本、恢复意愿等方面，构建耕地恢复潜力分类评价指标体 系，逐地块开展调查评价，形成耕地恢复潜力调查评价数据成果，为《规划》编制奠 定基础。保证《规划》成果科学可行。</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采购包1（蒲城县耕地恢复潜力调查评价项目）：属于专门面向中小企业采购。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1、营业执照：具有独立承担民事责任能力的法人、其他组织或自然人，提供合法有效的营业执照/事业单位法人证书/专业服务机构执业许可证/民办非企业单位登记证书等相关 证明，自然人参与的提供其身份证明；</w:t>
      </w:r>
    </w:p>
    <w:p>
      <w:pPr>
        <w:pStyle w:val="null3"/>
      </w:pPr>
      <w:r>
        <w:rPr>
          <w:rFonts w:ascii="仿宋_GB2312" w:hAnsi="仿宋_GB2312" w:cs="仿宋_GB2312" w:eastAsia="仿宋_GB2312"/>
        </w:rPr>
        <w:t>2、供应商须满足《中华人民共和国政府采购法》第二十二条规定（提供承诺函）供应商需在项目电子化交易系统中按要求上传相应证明文件并进行电子签章：供应商须满足《中华人民共和国政府采购法》第二十二条规定（提供承诺函）；供应商需在项目电子化交易系统中按要求上传相应证明文件并进行电子签章：供应商须满足《中华人民共和国政府采购法》第二十二条规定（提供承诺函）；供应商需在项目电子化交易系统中按要求上传相应证明文件并进行电子签章</w:t>
      </w:r>
    </w:p>
    <w:p>
      <w:pPr>
        <w:pStyle w:val="null3"/>
      </w:pPr>
      <w:r>
        <w:rPr>
          <w:rFonts w:ascii="仿宋_GB2312" w:hAnsi="仿宋_GB2312" w:cs="仿宋_GB2312" w:eastAsia="仿宋_GB2312"/>
        </w:rPr>
        <w:t>3、法人代表或法人授权代表：法定代表人授权委托书（附法定代表人身份证复印件及被授权人身份证复印件及2025年1月至今最少1个月在本单位任职期间的社保缴纳的证明）；法定代表人直接参加磋商提供法定代表人资格证明书（附法定代表人身份证复印件）；采购文件凡是法定代表人之处，非法人单位的负责人均参照执行；(式样见竞争性磋商响应文件格式)</w:t>
      </w:r>
    </w:p>
    <w:p>
      <w:pPr>
        <w:pStyle w:val="null3"/>
      </w:pPr>
      <w:r>
        <w:rPr>
          <w:rFonts w:ascii="仿宋_GB2312" w:hAnsi="仿宋_GB2312" w:cs="仿宋_GB2312" w:eastAsia="仿宋_GB2312"/>
        </w:rPr>
        <w:t>4、供应商资质：供应商须具备行政主管部门核发的测绘乙级(含乙级)及以上资质；</w:t>
      </w:r>
    </w:p>
    <w:p>
      <w:pPr>
        <w:pStyle w:val="null3"/>
      </w:pPr>
      <w:r>
        <w:rPr>
          <w:rFonts w:ascii="仿宋_GB2312" w:hAnsi="仿宋_GB2312" w:cs="仿宋_GB2312" w:eastAsia="仿宋_GB2312"/>
        </w:rPr>
        <w:t>5、控股关系声明：单位负责人为同一人或者存在直接控股、管理关系的不同供应商，不得参加同一合同项下的政府采购活动。（根据财库【2019】38号文规定，此项由采购人在投标截止日当天在“国家企业信用信息公示系统”进行查询，截图留档；如网站无供应商信息的，供应商须提供相关证明资料或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蒲城县自然资源局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陕西省渭南市蒲城县红旗路东段9号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18966535678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兰天项目管理有限公司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陕西省西安市碑林区陕西省西安市碑林区红缨路9号豪盛大厦A座10604室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18091317987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13892323567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开户名称：兰天项目管理有限公司</w:t>
            </w:r>
          </w:p>
          <w:p>
            <w:pPr>
              <w:pStyle w:val="null3"/>
            </w:pPr>
            <w:r>
              <w:rPr>
                <w:rFonts w:ascii="仿宋_GB2312" w:hAnsi="仿宋_GB2312" w:cs="仿宋_GB2312" w:eastAsia="仿宋_GB2312"/>
              </w:rPr>
              <w:t>开户银行：中国民生银行股份有限公司西安南二环支行</w:t>
            </w:r>
          </w:p>
          <w:p>
            <w:pPr>
              <w:pStyle w:val="null3"/>
            </w:pPr>
            <w:r>
              <w:rPr>
                <w:rFonts w:ascii="仿宋_GB2312" w:hAnsi="仿宋_GB2312" w:cs="仿宋_GB2312" w:eastAsia="仿宋_GB2312"/>
              </w:rPr>
              <w:t>银行账号：1585 1221 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计委关于印发招标代理服务收费管理暂行办法的通知》（计价格【2002】1980号）和国家发改委办公厅颁发的《关于招标代理服务收费有关问题的通知》（发改办价格【2003】857号）文件规定标准计取，具体收费金额将在成交公告中公布。</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蒲城县自然资源局</w:t>
      </w:r>
      <w:r>
        <w:rPr>
          <w:rFonts w:ascii="仿宋_GB2312" w:hAnsi="仿宋_GB2312" w:cs="仿宋_GB2312" w:eastAsia="仿宋_GB2312"/>
        </w:rPr>
        <w:t>和</w:t>
      </w:r>
      <w:r>
        <w:rPr>
          <w:rFonts w:ascii="仿宋_GB2312" w:hAnsi="仿宋_GB2312" w:cs="仿宋_GB2312" w:eastAsia="仿宋_GB2312"/>
        </w:rPr>
        <w:t>兰天项目管理有限公司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蒲城县自然资源局</w:t>
      </w:r>
      <w:r>
        <w:rPr>
          <w:rFonts w:ascii="仿宋_GB2312" w:hAnsi="仿宋_GB2312" w:cs="仿宋_GB2312" w:eastAsia="仿宋_GB2312"/>
        </w:rPr>
        <w:t>负责解释。除上述磋商文件内容，其他内容由</w:t>
      </w:r>
      <w:r>
        <w:rPr>
          <w:rFonts w:ascii="仿宋_GB2312" w:hAnsi="仿宋_GB2312" w:cs="仿宋_GB2312" w:eastAsia="仿宋_GB2312"/>
        </w:rPr>
        <w:t>兰天项目管理有限公司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蒲城县自然资源局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兰天项目管理有限公司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兰天项目管理有限公司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兰天项目管理有限公司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兰天项目管理有限公司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联系电话：18091317987</w:t>
      </w:r>
    </w:p>
    <w:p>
      <w:pPr>
        <w:pStyle w:val="null3"/>
      </w:pPr>
      <w:r>
        <w:rPr>
          <w:rFonts w:ascii="仿宋_GB2312" w:hAnsi="仿宋_GB2312" w:cs="仿宋_GB2312" w:eastAsia="仿宋_GB2312"/>
        </w:rPr>
        <w:t>地址：西安市雁塔区政通大道与文兴路交叉口东北100米谛杰国际广场7层711-713</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为贯彻落实党中央、国务院关于严格耕地保护和粮食安全 的决策部署，切实扛起耕地保护责任，根据《自然资源部财政部关于实行耕地保护责任目标考核奖惩工作的通知》（自然资 发〔2023〕246 号），《陕西省财政厅关于协同推进 2024 年财政资源领域重点工作的函》（陕财办资环函〔2024〕2 号）等文件精神，由省厅牵头编制《陕西省耕地恢复专项规划（ 2023-2027 年）》。为全面深入摸清我省耕地恢复潜力状况，从地块条件、恢复成本、恢复意愿等方面，构建耕地恢 复潜力分类评价指标体系，逐地块开展调查评价，形成耕地恢复潜力调查评价数据成果，为《规划》编制奠定基础。保证《规划》成果科学可行。</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蒲城县耕地恢复潜力调查评价项目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标的名称：蒲城县耕地恢复潜力调查评价项目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80"/>
              <w:ind w:right="105" w:firstLine="479"/>
            </w:pPr>
            <w:r>
              <w:rPr>
                <w:rFonts w:ascii="仿宋_GB2312" w:hAnsi="仿宋_GB2312" w:cs="仿宋_GB2312" w:eastAsia="仿宋_GB2312"/>
                <w:sz w:val="23"/>
              </w:rPr>
              <w:t>服务内容及要求要求</w:t>
            </w:r>
          </w:p>
          <w:p>
            <w:pPr>
              <w:pStyle w:val="null3"/>
              <w:jc w:val="left"/>
            </w:pPr>
            <w:r>
              <w:rPr>
                <w:rFonts w:ascii="仿宋_GB2312" w:hAnsi="仿宋_GB2312" w:cs="仿宋_GB2312" w:eastAsia="仿宋_GB2312"/>
                <w:sz w:val="23"/>
              </w:rPr>
              <w:t>( 一 )服务内容</w:t>
            </w:r>
          </w:p>
          <w:p>
            <w:pPr>
              <w:pStyle w:val="null3"/>
              <w:jc w:val="left"/>
            </w:pPr>
            <w:r>
              <w:rPr>
                <w:rFonts w:ascii="仿宋_GB2312" w:hAnsi="仿宋_GB2312" w:cs="仿宋_GB2312" w:eastAsia="仿宋_GB2312"/>
                <w:sz w:val="23"/>
              </w:rPr>
              <w:t>1、</w:t>
            </w:r>
            <w:r>
              <w:rPr>
                <w:rFonts w:ascii="仿宋_GB2312" w:hAnsi="仿宋_GB2312" w:cs="仿宋_GB2312" w:eastAsia="仿宋_GB2312"/>
                <w:sz w:val="23"/>
              </w:rPr>
              <w:t>任务内容</w:t>
            </w:r>
          </w:p>
          <w:p>
            <w:pPr>
              <w:pStyle w:val="null3"/>
              <w:jc w:val="left"/>
            </w:pPr>
            <w:r>
              <w:rPr>
                <w:rFonts w:ascii="仿宋_GB2312" w:hAnsi="仿宋_GB2312" w:cs="仿宋_GB2312" w:eastAsia="仿宋_GB2312"/>
                <w:sz w:val="23"/>
              </w:rPr>
              <w:t>根据省厅对蒲城县下发的</w:t>
            </w:r>
            <w:r>
              <w:rPr>
                <w:rFonts w:ascii="仿宋_GB2312" w:hAnsi="仿宋_GB2312" w:cs="仿宋_GB2312" w:eastAsia="仿宋_GB2312"/>
                <w:sz w:val="23"/>
              </w:rPr>
              <w:t>125342个图斑</w:t>
            </w:r>
            <w:r>
              <w:rPr>
                <w:rFonts w:ascii="仿宋_GB2312" w:hAnsi="仿宋_GB2312" w:cs="仿宋_GB2312" w:eastAsia="仿宋_GB2312"/>
                <w:sz w:val="23"/>
              </w:rPr>
              <w:t>底图进行</w:t>
            </w:r>
            <w:r>
              <w:rPr>
                <w:rFonts w:ascii="仿宋_GB2312" w:hAnsi="仿宋_GB2312" w:cs="仿宋_GB2312" w:eastAsia="仿宋_GB2312"/>
                <w:sz w:val="23"/>
              </w:rPr>
              <w:t>调查评价</w:t>
            </w:r>
            <w:r>
              <w:rPr>
                <w:rFonts w:ascii="仿宋_GB2312" w:hAnsi="仿宋_GB2312" w:cs="仿宋_GB2312" w:eastAsia="仿宋_GB2312"/>
                <w:sz w:val="23"/>
              </w:rPr>
              <w:t>作业。调查要求：以实地现状</w:t>
            </w:r>
            <w:r>
              <w:rPr>
                <w:rFonts w:ascii="仿宋_GB2312" w:hAnsi="仿宋_GB2312" w:cs="仿宋_GB2312" w:eastAsia="仿宋_GB2312"/>
                <w:sz w:val="23"/>
              </w:rPr>
              <w:t>“实事求是”调查填写地类，逐地块进行实地调查核实，实地调查必须做到走到、看到、问到、记到， 保证调查信息完整准确、不缺不漏。调查内容：按照《第三次全国国土调查工作分类》地类认定标准，对实地现状进行地类认定。实地调查内容主要包括：耕作便利度、恢复成本、恢复意愿、种植/养殖种类等内容。调查评价：采用省厅统一标准进行恢复潜力评价，形成已经恢复、容易恢复、较难恢复、难以恢复四类潜力地块图斑数据成果。评价过程中，同一图斑出现部分容易恢复、部分难恢复等多种情形时，可分割图斑予以评价。最后根据实地调查结果形成耕地恢复潜力调查评价数据成果。</w:t>
            </w:r>
          </w:p>
          <w:p>
            <w:pPr>
              <w:pStyle w:val="null3"/>
              <w:jc w:val="left"/>
            </w:pPr>
            <w:r>
              <w:rPr>
                <w:rFonts w:ascii="仿宋_GB2312" w:hAnsi="仿宋_GB2312" w:cs="仿宋_GB2312" w:eastAsia="仿宋_GB2312"/>
                <w:sz w:val="23"/>
              </w:rPr>
              <w:t>2、调查评价对象</w:t>
            </w:r>
          </w:p>
          <w:p>
            <w:pPr>
              <w:pStyle w:val="null3"/>
              <w:jc w:val="left"/>
            </w:pPr>
            <w:r>
              <w:rPr>
                <w:rFonts w:ascii="仿宋_GB2312" w:hAnsi="仿宋_GB2312" w:cs="仿宋_GB2312" w:eastAsia="仿宋_GB2312"/>
                <w:sz w:val="23"/>
              </w:rPr>
              <w:t>(1)恢复类图斑</w:t>
            </w:r>
            <w:r>
              <w:rPr>
                <w:rFonts w:ascii="仿宋_GB2312" w:hAnsi="仿宋_GB2312" w:cs="仿宋_GB2312" w:eastAsia="仿宋_GB2312"/>
                <w:sz w:val="23"/>
              </w:rPr>
              <w:t>：</w:t>
            </w:r>
            <w:r>
              <w:rPr>
                <w:rFonts w:ascii="仿宋_GB2312" w:hAnsi="仿宋_GB2312" w:cs="仿宋_GB2312" w:eastAsia="仿宋_GB2312"/>
                <w:sz w:val="23"/>
              </w:rPr>
              <w:t>陕西省</w:t>
            </w:r>
            <w:r>
              <w:rPr>
                <w:rFonts w:ascii="仿宋_GB2312" w:hAnsi="仿宋_GB2312" w:cs="仿宋_GB2312" w:eastAsia="仿宋_GB2312"/>
                <w:sz w:val="23"/>
              </w:rPr>
              <w:t>2022年度变更调查数据中标注属性为即可恢复和工程恢复类园地、林地、草地、坑塘水面等图斑。</w:t>
            </w:r>
          </w:p>
          <w:p>
            <w:pPr>
              <w:pStyle w:val="null3"/>
              <w:jc w:val="left"/>
            </w:pPr>
            <w:r>
              <w:rPr>
                <w:rFonts w:ascii="仿宋_GB2312" w:hAnsi="仿宋_GB2312" w:cs="仿宋_GB2312" w:eastAsia="仿宋_GB2312"/>
                <w:sz w:val="23"/>
              </w:rPr>
              <w:t>(2)耕地流出图斑(仅流入至农用地)</w:t>
            </w:r>
            <w:r>
              <w:rPr>
                <w:rFonts w:ascii="仿宋_GB2312" w:hAnsi="仿宋_GB2312" w:cs="仿宋_GB2312" w:eastAsia="仿宋_GB2312"/>
                <w:sz w:val="23"/>
              </w:rPr>
              <w:t>：</w:t>
            </w:r>
            <w:r>
              <w:rPr>
                <w:rFonts w:ascii="仿宋_GB2312" w:hAnsi="仿宋_GB2312" w:cs="仿宋_GB2312" w:eastAsia="仿宋_GB2312"/>
                <w:sz w:val="23"/>
              </w:rPr>
              <w:t>陕西省</w:t>
            </w:r>
            <w:r>
              <w:rPr>
                <w:rFonts w:ascii="仿宋_GB2312" w:hAnsi="仿宋_GB2312" w:cs="仿宋_GB2312" w:eastAsia="仿宋_GB2312"/>
                <w:sz w:val="23"/>
              </w:rPr>
              <w:t>2022年度变更调查耕地流出图斑。</w:t>
            </w:r>
          </w:p>
          <w:p>
            <w:pPr>
              <w:pStyle w:val="null3"/>
              <w:jc w:val="left"/>
            </w:pPr>
            <w:r>
              <w:rPr>
                <w:rFonts w:ascii="仿宋_GB2312" w:hAnsi="仿宋_GB2312" w:cs="仿宋_GB2312" w:eastAsia="仿宋_GB2312"/>
                <w:sz w:val="23"/>
              </w:rPr>
              <w:t>(3)设施农用地图斑</w:t>
            </w:r>
            <w:r>
              <w:rPr>
                <w:rFonts w:ascii="仿宋_GB2312" w:hAnsi="仿宋_GB2312" w:cs="仿宋_GB2312" w:eastAsia="仿宋_GB2312"/>
                <w:sz w:val="23"/>
              </w:rPr>
              <w:t>：</w:t>
            </w:r>
            <w:r>
              <w:rPr>
                <w:rFonts w:ascii="仿宋_GB2312" w:hAnsi="仿宋_GB2312" w:cs="仿宋_GB2312" w:eastAsia="仿宋_GB2312"/>
                <w:sz w:val="23"/>
              </w:rPr>
              <w:t>陕西省</w:t>
            </w:r>
            <w:r>
              <w:rPr>
                <w:rFonts w:ascii="仿宋_GB2312" w:hAnsi="仿宋_GB2312" w:cs="仿宋_GB2312" w:eastAsia="仿宋_GB2312"/>
                <w:sz w:val="23"/>
              </w:rPr>
              <w:t>2022年度变更调查设施农用地图斑。</w:t>
            </w:r>
          </w:p>
          <w:p>
            <w:pPr>
              <w:pStyle w:val="null3"/>
              <w:jc w:val="left"/>
            </w:pPr>
            <w:r>
              <w:rPr>
                <w:rFonts w:ascii="仿宋_GB2312" w:hAnsi="仿宋_GB2312" w:cs="仿宋_GB2312" w:eastAsia="仿宋_GB2312"/>
                <w:sz w:val="23"/>
              </w:rPr>
              <w:t>(4)地方自增可恢复为耕地图斑</w:t>
            </w:r>
            <w:r>
              <w:rPr>
                <w:rFonts w:ascii="仿宋_GB2312" w:hAnsi="仿宋_GB2312" w:cs="仿宋_GB2312" w:eastAsia="仿宋_GB2312"/>
                <w:sz w:val="23"/>
              </w:rPr>
              <w:t>：</w:t>
            </w:r>
            <w:r>
              <w:rPr>
                <w:rFonts w:ascii="仿宋_GB2312" w:hAnsi="仿宋_GB2312" w:cs="仿宋_GB2312" w:eastAsia="仿宋_GB2312"/>
                <w:sz w:val="23"/>
              </w:rPr>
              <w:t>除前三项外，市县自选的可恢复为耕地的其他图斑。</w:t>
            </w:r>
          </w:p>
          <w:p>
            <w:pPr>
              <w:pStyle w:val="null3"/>
              <w:jc w:val="left"/>
            </w:pPr>
            <w:r>
              <w:rPr>
                <w:rFonts w:ascii="仿宋_GB2312" w:hAnsi="仿宋_GB2312" w:cs="仿宋_GB2312" w:eastAsia="仿宋_GB2312"/>
                <w:sz w:val="23"/>
              </w:rPr>
              <w:t>3、引用规范</w:t>
            </w:r>
          </w:p>
          <w:p>
            <w:pPr>
              <w:pStyle w:val="null3"/>
              <w:jc w:val="left"/>
            </w:pPr>
            <w:r>
              <w:rPr>
                <w:rFonts w:ascii="仿宋_GB2312" w:hAnsi="仿宋_GB2312" w:cs="仿宋_GB2312" w:eastAsia="仿宋_GB2312"/>
                <w:sz w:val="23"/>
              </w:rPr>
              <w:t>(1)TD/T1055-2019第三次全国国土调查技术规程；</w:t>
            </w:r>
          </w:p>
          <w:p>
            <w:pPr>
              <w:pStyle w:val="null3"/>
              <w:jc w:val="left"/>
            </w:pPr>
            <w:r>
              <w:rPr>
                <w:rFonts w:ascii="仿宋_GB2312" w:hAnsi="仿宋_GB2312" w:cs="仿宋_GB2312" w:eastAsia="仿宋_GB2312"/>
                <w:sz w:val="23"/>
              </w:rPr>
              <w:t>(2)国土变更调查技术规程(2022年度适用);</w:t>
            </w:r>
          </w:p>
          <w:p>
            <w:pPr>
              <w:pStyle w:val="null3"/>
              <w:jc w:val="left"/>
            </w:pPr>
            <w:r>
              <w:rPr>
                <w:rFonts w:ascii="仿宋_GB2312" w:hAnsi="仿宋_GB2312" w:cs="仿宋_GB2312" w:eastAsia="仿宋_GB2312"/>
                <w:sz w:val="23"/>
              </w:rPr>
              <w:t>(3)《国土空间调查、规划、用途管制用地用海分类指南》(自然资发〔2023)234号);</w:t>
            </w:r>
          </w:p>
          <w:p>
            <w:pPr>
              <w:pStyle w:val="null3"/>
              <w:jc w:val="left"/>
            </w:pPr>
            <w:r>
              <w:rPr>
                <w:rFonts w:ascii="仿宋_GB2312" w:hAnsi="仿宋_GB2312" w:cs="仿宋_GB2312" w:eastAsia="仿宋_GB2312"/>
                <w:sz w:val="23"/>
              </w:rPr>
              <w:t>(4)《自然资源部财政部关于实行耕地保护责任目标考核奖惩工作的通知》(自然资发〔2023〕236号);</w:t>
            </w:r>
          </w:p>
          <w:p>
            <w:pPr>
              <w:pStyle w:val="null3"/>
              <w:jc w:val="left"/>
            </w:pPr>
            <w:r>
              <w:rPr>
                <w:rFonts w:ascii="仿宋_GB2312" w:hAnsi="仿宋_GB2312" w:cs="仿宋_GB2312" w:eastAsia="仿宋_GB2312"/>
                <w:sz w:val="23"/>
              </w:rPr>
              <w:t>(5)《自然资源部农业农村部国家林业和草原局关于严格耕地用途管制有关问 题的通知》(自然资发(2021 ) 1 6 6 号 ) ;</w:t>
            </w:r>
          </w:p>
          <w:p>
            <w:pPr>
              <w:pStyle w:val="null3"/>
              <w:jc w:val="left"/>
            </w:pPr>
            <w:r>
              <w:rPr>
                <w:rFonts w:ascii="仿宋_GB2312" w:hAnsi="仿宋_GB2312" w:cs="仿宋_GB2312" w:eastAsia="仿宋_GB2312"/>
                <w:sz w:val="23"/>
              </w:rPr>
              <w:t>(6)TDT 1057-2020国土调查数据库标准；</w:t>
            </w:r>
          </w:p>
          <w:p>
            <w:pPr>
              <w:pStyle w:val="null3"/>
              <w:jc w:val="left"/>
            </w:pPr>
            <w:r>
              <w:rPr>
                <w:rFonts w:ascii="仿宋_GB2312" w:hAnsi="仿宋_GB2312" w:cs="仿宋_GB2312" w:eastAsia="仿宋_GB2312"/>
                <w:sz w:val="23"/>
              </w:rPr>
              <w:t>(7)陕西省耕地恢复潜力调查评价技术方案。</w:t>
            </w:r>
          </w:p>
          <w:p>
            <w:pPr>
              <w:pStyle w:val="null3"/>
              <w:jc w:val="left"/>
            </w:pPr>
            <w:r>
              <w:rPr>
                <w:rFonts w:ascii="仿宋_GB2312" w:hAnsi="仿宋_GB2312" w:cs="仿宋_GB2312" w:eastAsia="仿宋_GB2312"/>
                <w:sz w:val="24"/>
              </w:rPr>
              <w:t>(二)服务要求</w:t>
            </w:r>
          </w:p>
          <w:p>
            <w:pPr>
              <w:pStyle w:val="null3"/>
              <w:spacing w:before="315"/>
              <w:jc w:val="left"/>
            </w:pPr>
            <w:r>
              <w:rPr>
                <w:rFonts w:ascii="仿宋_GB2312" w:hAnsi="仿宋_GB2312" w:cs="仿宋_GB2312" w:eastAsia="仿宋_GB2312"/>
                <w:sz w:val="24"/>
              </w:rPr>
              <w:t>1、服务期限：自合同签订之日起至2025年8月31日；</w:t>
            </w:r>
          </w:p>
          <w:p>
            <w:pPr>
              <w:pStyle w:val="null3"/>
              <w:jc w:val="left"/>
            </w:pPr>
            <w:r>
              <w:rPr>
                <w:rFonts w:ascii="仿宋_GB2312" w:hAnsi="仿宋_GB2312" w:cs="仿宋_GB2312" w:eastAsia="仿宋_GB2312"/>
                <w:sz w:val="24"/>
              </w:rPr>
              <w:t>2、服务地点：采购人指定地点；</w:t>
            </w:r>
          </w:p>
          <w:p>
            <w:pPr>
              <w:pStyle w:val="null3"/>
              <w:jc w:val="left"/>
            </w:pPr>
            <w:r>
              <w:rPr>
                <w:rFonts w:ascii="仿宋_GB2312" w:hAnsi="仿宋_GB2312" w:cs="仿宋_GB2312" w:eastAsia="仿宋_GB2312"/>
                <w:sz w:val="24"/>
              </w:rPr>
              <w:t>3、数学基础：平面坐标系统采用CGCS2000国家大地坐标系，高程系统采用1985国家高程基准，地图投影方式采用高斯-克吕格投影，3°分带，中央子午线为108°。</w:t>
            </w:r>
          </w:p>
          <w:p>
            <w:pPr>
              <w:pStyle w:val="null3"/>
              <w:jc w:val="left"/>
            </w:pPr>
            <w:r>
              <w:rPr>
                <w:rFonts w:ascii="仿宋_GB2312" w:hAnsi="仿宋_GB2312" w:cs="仿宋_GB2312" w:eastAsia="仿宋_GB2312"/>
                <w:sz w:val="24"/>
              </w:rPr>
              <w:t>4、计量单位与精度要求：面积计量单位采用平方米</w:t>
            </w:r>
            <w:r>
              <w:rPr>
                <w:rFonts w:ascii="仿宋_GB2312" w:hAnsi="仿宋_GB2312" w:cs="仿宋_GB2312" w:eastAsia="仿宋_GB2312"/>
              </w:rPr>
              <w:t xml:space="preserve"> </w:t>
            </w:r>
            <w:r>
              <w:rPr>
                <w:rFonts w:ascii="仿宋_GB2312" w:hAnsi="仿宋_GB2312" w:cs="仿宋_GB2312" w:eastAsia="仿宋_GB2312"/>
                <w:sz w:val="24"/>
              </w:rPr>
              <w:t>(m²),      面积统计单位为亩，保留两位小数。自增可恢复为耕地图斑，面积不低于“三调”最小上图图斑面积要求。</w:t>
            </w:r>
          </w:p>
          <w:p>
            <w:pPr>
              <w:pStyle w:val="null3"/>
              <w:jc w:val="left"/>
            </w:pPr>
            <w:r>
              <w:rPr>
                <w:rFonts w:ascii="仿宋_GB2312" w:hAnsi="仿宋_GB2312" w:cs="仿宋_GB2312" w:eastAsia="仿宋_GB2312"/>
                <w:sz w:val="24"/>
              </w:rPr>
              <w:t>5</w:t>
            </w:r>
            <w:r>
              <w:rPr>
                <w:rFonts w:ascii="仿宋_GB2312" w:hAnsi="仿宋_GB2312" w:cs="仿宋_GB2312" w:eastAsia="仿宋_GB2312"/>
              </w:rPr>
              <w:t xml:space="preserve"> </w:t>
            </w:r>
            <w:r>
              <w:rPr>
                <w:rFonts w:ascii="仿宋_GB2312" w:hAnsi="仿宋_GB2312" w:cs="仿宋_GB2312" w:eastAsia="仿宋_GB2312"/>
                <w:sz w:val="24"/>
              </w:rPr>
              <w:t>、数据库成果规格：数据库成果目录按照</w:t>
            </w:r>
            <w:r>
              <w:rPr>
                <w:rFonts w:ascii="仿宋_GB2312" w:hAnsi="仿宋_GB2312" w:cs="仿宋_GB2312" w:eastAsia="仿宋_GB2312"/>
                <w:sz w:val="24"/>
              </w:rPr>
              <w:t>“61XXXX市-61XXXX县-1.耕地恢复专项调查评价矢量数据库/2.耕地恢复专项调查评价统计表/3.其它附件”三级文件夹组织，数据库命名为：61XXXX县耕地恢复专项调查评价成果.gdb,统计表命名为：XX市XX县耕地恢复专项调查评价统计表.xlsx</w:t>
            </w:r>
          </w:p>
          <w:p>
            <w:pPr>
              <w:pStyle w:val="null3"/>
              <w:jc w:val="left"/>
            </w:pPr>
            <w:r>
              <w:rPr>
                <w:rFonts w:ascii="仿宋_GB2312" w:hAnsi="仿宋_GB2312" w:cs="仿宋_GB2312" w:eastAsia="仿宋_GB2312"/>
                <w:sz w:val="24"/>
              </w:rPr>
              <w:t>6、数据库结构：数据库属性结构按照“陕西省自然资源厅办公室关于开展陕西省耕地恢复潜力调查评价工作的通知中附件1-3(耕地恢复潜力调查评价矢量属性结构描述表)”执行。</w:t>
            </w:r>
          </w:p>
          <w:p>
            <w:pPr>
              <w:pStyle w:val="null3"/>
              <w:jc w:val="left"/>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根据项目实际情况提供</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根据项目实际情况提供</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根据项目实际情况提供</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自合同签订之日起至2025年8月31日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1.符合国家一般标准要求，2.甲方根据乙方提供的调查评价成果进行验收。 3.验收合格后，乙方应与甲方办理相关的验收交接手续，填写交接验收单，验收各方签字后送合同各方。 4.验收依据：（1）合同文本（2）国内相应的标准、规范（3）竞争性磋商文件、投标文件、响应承诺。</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自合同签订之日起 ，支付合同总金额的 40.00%；剩余尾款于工作结束验收合格后支付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2.未按合同要求提供服务或服务质量不能满足服务要求和标准，采购人有权终止合同，并对供方违约行为进行追究，同时按《中华人民共和国政府采购法》的有关规定进行处罚。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1.成交人在领取成交通知书时提供一正两副纸质竞争性磋商响应文件及电子文件（U盘2份）。装订：纸质竞争性磋商响应文件装订成册，与电子竞争性磋商响应文件一致的签字、盖章的完整版本。 2.成交单位应在合同签订后接采购人通知之日起7个工作日内安排人员与使用单位对实施服务进行安排、部署、计划。 3.若未能在按照项目实际工作时间完成规定的义务，由此对采购单位造成的延误和一切损失，由成交单位承担和赔偿。</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供应商需在项目电子化交易系统中按要求填写《投标函》完成承诺并进行电子签章。此项审查内容与特定资格条件中的“控股关系查询”为同一审查内容。</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具有独立承担民事责任能力的法人、其他组织或自然人，提供合法有效的营业执照/事业单位法人证书/专业服务机构执业许可证/民办非企业单位登记证书等相关 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供应商须满足《中华人民共和国政府采购法》第二十二条规定（提供承诺函）供应商需在项目电子化交易系统中按要求上传相应证明文件并进行电子签章</w:t>
            </w:r>
          </w:p>
        </w:tc>
        <w:tc>
          <w:tcPr>
            <w:tcW w:type="dxa" w:w="3322"/>
          </w:tcPr>
          <w:p>
            <w:pPr>
              <w:pStyle w:val="null3"/>
            </w:pPr>
            <w:r>
              <w:rPr>
                <w:rFonts w:ascii="仿宋_GB2312" w:hAnsi="仿宋_GB2312" w:cs="仿宋_GB2312" w:eastAsia="仿宋_GB2312"/>
              </w:rPr>
              <w:t>供应商须满足《中华人民共和国政府采购法》第二十二条规定（提供承诺函）；供应商需在项目电子化交易系统中按要求上传相应证明文件并进行电子签章：供应商须满足《中华人民共和国政府采购法》第二十二条规定（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法人代表或法人授权代表</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及2025年1月至今最少1个月在本单位任职期间的社保缴纳的证明）；法定代表人直接参加磋商提供法定代表人资格证明书（附法定代表人身份证复印件）；采购文件凡是法定代表人之处，非法人单位的负责人均参照执行；(式样见竞争性磋商响应文件格式)</w:t>
            </w:r>
          </w:p>
        </w:tc>
        <w:tc>
          <w:tcPr>
            <w:tcW w:type="dxa" w:w="1661"/>
          </w:tcPr>
          <w:p>
            <w:pPr>
              <w:pStyle w:val="null3"/>
            </w:pPr>
            <w:r>
              <w:rPr>
                <w:rFonts w:ascii="仿宋_GB2312" w:hAnsi="仿宋_GB2312" w:cs="仿宋_GB2312" w:eastAsia="仿宋_GB2312"/>
              </w:rPr>
              <w:t>承诺书.docx 法定代表人授权委托书.docx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供应商须具备行政主管部门核发的测绘乙级(含乙级)及以上资质；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控股关系声明</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根据财库【2019】38号文规定，此项由采购人在投标截止日当天在“国家企业信用信息公示系统”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除明确允许供应商可以自行编写的外，磋商响应文件是否按照磋商文件给定的格式编制</w:t>
            </w:r>
          </w:p>
        </w:tc>
        <w:tc>
          <w:tcPr>
            <w:tcW w:type="dxa" w:w="1661"/>
          </w:tcPr>
          <w:p>
            <w:pPr>
              <w:pStyle w:val="null3"/>
            </w:pPr>
            <w:r>
              <w:rPr>
                <w:rFonts w:ascii="仿宋_GB2312" w:hAnsi="仿宋_GB2312" w:cs="仿宋_GB2312" w:eastAsia="仿宋_GB2312"/>
              </w:rPr>
              <w:t>报价一览表.docx 中小企业声明函 承诺书.docx 报价表 商务条款响应偏离表.docx 资格证明文件.docx 服务条款响应偏离表.docx 响应文件封面 分项报价表.docx 残疾人福利性单位声明函 拒绝政府采购领域商业贿赂承诺书.docx 供应商参与政府采购活动的承诺函.docx 标的清单 履行合同所必需的设备和专业技术能力的承诺书.docx 响应函 法定代表人授权委托书.docx 监狱企业的证明文件 服务技术能力.docx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磋商响应文件是否按照磋商文件的要求盖章签字</w:t>
            </w:r>
          </w:p>
        </w:tc>
        <w:tc>
          <w:tcPr>
            <w:tcW w:type="dxa" w:w="1661"/>
          </w:tcPr>
          <w:p>
            <w:pPr>
              <w:pStyle w:val="null3"/>
            </w:pPr>
            <w:r>
              <w:rPr>
                <w:rFonts w:ascii="仿宋_GB2312" w:hAnsi="仿宋_GB2312" w:cs="仿宋_GB2312" w:eastAsia="仿宋_GB2312"/>
              </w:rPr>
              <w:t>报价一览表.docx 中小企业声明函 承诺书.docx 报价表 商务条款响应偏离表.docx 资格证明文件.docx 服务条款响应偏离表.docx 响应文件封面 分项报价表.docx 残疾人福利性单位声明函 拒绝政府采购领域商业贿赂承诺书.docx 供应商参与政府采购活动的承诺函.docx 标的清单 履行合同所必需的设备和专业技术能力的承诺书.docx 响应函 法定代表人授权委托书.docx 监狱企业的证明文件 服务技术能力.docx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对磋商文件商务要求是否作出明确且实质性响应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对磋商文件技术要求是否作出明确响应，对不得偏离的要求是否作了实质性响应</w:t>
            </w:r>
          </w:p>
        </w:tc>
        <w:tc>
          <w:tcPr>
            <w:tcW w:type="dxa" w:w="1661"/>
          </w:tcPr>
          <w:p>
            <w:pPr>
              <w:pStyle w:val="null3"/>
            </w:pPr>
            <w:r>
              <w:rPr>
                <w:rFonts w:ascii="仿宋_GB2312" w:hAnsi="仿宋_GB2312" w:cs="仿宋_GB2312" w:eastAsia="仿宋_GB2312"/>
              </w:rPr>
              <w:t>服务条款响应偏离表.docx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竞争性磋商响应文件中提供的供应商资质证书是否符合磋商文件要求；在合同签订及履行期间持续有效，否则响应文件中应提供一份承诺书，承诺到期前完成续期并向采购人提供新的材料</w:t>
            </w:r>
          </w:p>
        </w:tc>
        <w:tc>
          <w:tcPr>
            <w:tcW w:type="dxa" w:w="3322"/>
          </w:tcPr>
          <w:p>
            <w:pPr>
              <w:pStyle w:val="null3"/>
            </w:pPr>
            <w:r>
              <w:rPr>
                <w:rFonts w:ascii="仿宋_GB2312" w:hAnsi="仿宋_GB2312" w:cs="仿宋_GB2312" w:eastAsia="仿宋_GB2312"/>
              </w:rPr>
              <w:t>竞争性磋商响应文件中提供的供应商资质证书是否符合磋商文件要求；是否在合同签订及履行期间持续有效，否则响应文件中应提供一份承诺书，承诺到期前完成续期并向采购人提供新的材料</w:t>
            </w:r>
          </w:p>
        </w:tc>
        <w:tc>
          <w:tcPr>
            <w:tcW w:type="dxa" w:w="1661"/>
          </w:tcPr>
          <w:p>
            <w:pPr>
              <w:pStyle w:val="null3"/>
            </w:pPr>
            <w:r>
              <w:rPr>
                <w:rFonts w:ascii="仿宋_GB2312" w:hAnsi="仿宋_GB2312" w:cs="仿宋_GB2312" w:eastAsia="仿宋_GB2312"/>
              </w:rPr>
              <w:t>承诺书.docx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磋商响应文件未含有采购人不能接受的附加条件</w:t>
            </w:r>
          </w:p>
        </w:tc>
        <w:tc>
          <w:tcPr>
            <w:tcW w:type="dxa" w:w="3322"/>
          </w:tcPr>
          <w:p>
            <w:pPr>
              <w:pStyle w:val="null3"/>
            </w:pPr>
            <w:r>
              <w:rPr>
                <w:rFonts w:ascii="仿宋_GB2312" w:hAnsi="仿宋_GB2312" w:cs="仿宋_GB2312" w:eastAsia="仿宋_GB2312"/>
              </w:rPr>
              <w:t>磋商响应文件未含有采购人不能接受的附加条件</w:t>
            </w:r>
          </w:p>
        </w:tc>
        <w:tc>
          <w:tcPr>
            <w:tcW w:type="dxa" w:w="1661"/>
          </w:tcPr>
          <w:p>
            <w:pPr>
              <w:pStyle w:val="null3"/>
            </w:pPr>
            <w:r>
              <w:rPr>
                <w:rFonts w:ascii="仿宋_GB2312" w:hAnsi="仿宋_GB2312" w:cs="仿宋_GB2312" w:eastAsia="仿宋_GB2312"/>
              </w:rPr>
              <w:t>供应商认为有必要说明的事宜.docx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未含有法律、法规和磋商文件规定的其他无效响应情形</w:t>
            </w:r>
          </w:p>
        </w:tc>
        <w:tc>
          <w:tcPr>
            <w:tcW w:type="dxa" w:w="3322"/>
          </w:tcPr>
          <w:p>
            <w:pPr>
              <w:pStyle w:val="null3"/>
            </w:pPr>
            <w:r>
              <w:rPr>
                <w:rFonts w:ascii="仿宋_GB2312" w:hAnsi="仿宋_GB2312" w:cs="仿宋_GB2312" w:eastAsia="仿宋_GB2312"/>
              </w:rPr>
              <w:t>未含有法律、法规和磋商文件规定的其他无效响应情形</w:t>
            </w:r>
          </w:p>
        </w:tc>
        <w:tc>
          <w:tcPr>
            <w:tcW w:type="dxa" w:w="1661"/>
          </w:tcPr>
          <w:p>
            <w:pPr>
              <w:pStyle w:val="null3"/>
            </w:pPr>
            <w:r>
              <w:rPr>
                <w:rFonts w:ascii="仿宋_GB2312" w:hAnsi="仿宋_GB2312" w:cs="仿宋_GB2312" w:eastAsia="仿宋_GB2312"/>
              </w:rPr>
              <w:t>报价一览表.docx 分项报价表.docx 中小企业声明函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 针对本项目提出的服务方案，方案内容包含①服务理念及特色②服务目标及计划③重难点分析及保障措施④项目理解分析及服务方案。 二、评审标准 ：1、完整性：方案须全面，对评审内容中的各项要求有详细描述及说明；2、可实施性：切合本项目实际情况，实施步骤清晰、合理；3、针对性：方案能够紧扣项目实际情况，内容科学合理。 赋分标准(满分 20 分)： ①②③④项按照评审标准要求，完全满足，得20分，以上分项每缺少一项内容扣5 分；有某一项不完整或不符合实际要求或不满足实施要求的每项得0.5-4 分；完全不满足、完全不符合或者未提供不得分。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一、评审内容：针对本项目提出具体的质量控制措施内容包含①质量管理制度②质量控制措施。 二、评审标准 ：1、完整性：内容须全面，对评审内容中的各项要求有详细描述及说明；2、可实施性：切合本项目实际情况，实施步骤清晰、合理；3、针对性：内容能够紧扣项目实际情况，且科学合理。 三、赋分标准(满分9 分)：①②项按照评审标准要求，完全满足得9分，以上分项每缺少一项内容扣4.5分；有某一项不完整或不符合实际要求或不满足项目实际需求，每项得0.5-3 分；完全不满足、完全不符合或者未提供不得分。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一、评审内容：针对本项目提出服务进度计划保障措施，内容包含①总体进度计划保证措施②重要时间节点保证措施。 二、评审标准：1、完整性：措施需全面，对评审内容中的各项要求有详细描述及说明； 2、可实施性：切合本项目实际情况，实施步骤清晰、合理； 3、针对性：内容能够紧扣项目实际情况且科学合理。 三、赋分标准(满分9 分)：①②项按照评审标准要求，完全满足得9分，以上分项每缺少一项内容扣4.5分；有某一项不完整或不符合实际要求，每项得0.5-3 分；完全不满足、完全不符合或者未提供不得分。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针对本项目具有良好的管理制度，内容包括：①岗位制度：具有岗位职责、服务质量标准、岗位制度、作业流程②内控制度：具有管理组织机构、内部管理制度、监督机制③人员管理制度：具有员工日常管理办法、请销假制度、奖惩措施、仪容仪表制度。 二、评审标准： 1、完整性：内容须全面，对评审内容中的各项要求有详细描述及说明； 2、可实施性：切合本项目实际情况，实施步骤清晰、合理； 3、针对性：内容能够紧扣项目实际情况且内容科学合理。 三、赋分标准(满分9 分) ：①②③项按照评审标准要求，完全满足，得9分，以上分项每缺少一项内容扣3 分；有某一项不完整或不符合实际要求或不满足实施要求的每项得0.5-2.5 分；完全不满足、安全不符合或未提供不得分。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一、评审内容：针对本项目提出具体的保密措施，方案内容包含①保密管理制度②服务人员的保密措施。 二、评审标准：1、完整性：内容须全面，对评审内容中的各项要求有详细描述及说明； 2、可实施性：切合本项目实际情况，实施步骤清晰、合理； 3、针对性：内容能够紧扣项目实际情况且内容科学合理。 三、赋分标准(满分6 分)：①②项按照评审标准要求，完全满足，得6分，以上分项每缺少一项内容扣3 分；有某一项不完整或不符合实际要求或不满足实施要求的每项得0.5-2 分；完全不满足、安全不符合或未提供不得分。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一、评审内容：供应商针对本项目拟派人员配备进行评审。 二、评审及赋分标准(满分9 分)： 1、项目负责人：具有测绘类高级工程师职称得3分，具有中级工程师职称得1分，未提供不得分； 2、技术负责人：具有测绘类高级工程师职称得3分，具有中级工程师职称得1分，未提供不得分；本项满分6分。 3、项目组成员（不含项目负责人及技术负责人）具有测绘相关专业中级及以上职称，每配备一名得 1 分，最高得3分；未提供不得分。 注:1、上述人员不得重复；2、以上人员提供人员职称证等相应证明材料复印件并加盖公章；否则不得分。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服务技术能力.docx</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一、评审内容：供应商针对本项目投入的设备配置情况，包括拟投入本项目的设备配置。 二、评审标准 ：1、完整性:设备配置清单齐全完整，能完全满足并提供评审内容中的各项要求；2、实用性:设备工具质量有保障、使用率高、安全性能强； 3、针对性:设备工具能紧扣项目实际情况，配置合理科学。 三、赋分标准(满分 3 分) 拟投入本项目的设备配置：每完全满足一项评审标准得 1 分，满分 3 分；有某一项不完整或不符合实际要求或不满足要求得0.5-2分；完全不满足、安全不符合或未提供不得分。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服务技术能力.docx</w:t>
            </w:r>
          </w:p>
        </w:tc>
      </w:tr>
      <w:tr>
        <w:tc>
          <w:tcPr>
            <w:tcW w:type="dxa" w:w="831"/>
            <w:vMerge/>
          </w:tcPr>
          <w:p/>
        </w:tc>
        <w:tc>
          <w:tcPr>
            <w:tcW w:type="dxa" w:w="1661"/>
          </w:tcPr>
          <w:p>
            <w:pPr>
              <w:pStyle w:val="null3"/>
            </w:pPr>
            <w:r>
              <w:rPr>
                <w:rFonts w:ascii="仿宋_GB2312" w:hAnsi="仿宋_GB2312" w:cs="仿宋_GB2312" w:eastAsia="仿宋_GB2312"/>
              </w:rPr>
              <w:t>服务承诺、合理化建议</w:t>
            </w:r>
          </w:p>
        </w:tc>
        <w:tc>
          <w:tcPr>
            <w:tcW w:type="dxa" w:w="2492"/>
          </w:tcPr>
          <w:p>
            <w:pPr>
              <w:pStyle w:val="null3"/>
            </w:pPr>
            <w:r>
              <w:rPr>
                <w:rFonts w:ascii="仿宋_GB2312" w:hAnsi="仿宋_GB2312" w:cs="仿宋_GB2312" w:eastAsia="仿宋_GB2312"/>
              </w:rPr>
              <w:t>一、评审内容供应商针对本项目有具体的服务承诺、合理化建议及意见，内容包含① 接受采购人对服务的考核、监督及管理，并对服务质量加以改进确保服务工作的优质高效②若人员因事、病不能及时上岗时，请调其他服务人员补充，确保各项服务工作正常进行，具有足够的可调度人员储备以应对重大、突发事件等的分等、定级和基准地价制定任务③对本项目提出的合理化建议及意见。 二、评审标准 1、完整性：内容全面，对评审内容中的各项要求有详细描述及说明； 2、可实施性：切合本项目实际情况，实施步骤清晰、合理； 3、针对性：内容能够紧扣项目实际情况， 内容科学合理。 三、赋分标准(满分9 分) ①接受采购人对服务的考核、监督及管理，并对服务质量加以改进确保服务工作的优质高效：每完全满足一项评审标准得 1 分，满分 3 分； ②若人员因事、病不能及时上岗时，请调其他服务人员补充，确保各项服务工作正常进行，具有足够的可调度人员储备以应对重大、突发事件等的分等、定级和基准地价制定任务：每完全满足一项评审标准得 1 分，满分 3 分；③对本项目提出的合理化建议及意见：每完全满足一项评审标准得 1 分，满分 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一、评审内容：提供完整、详细的售后服务方案，方案内容包含①售后服务方案②用户现场服务响应时间、问题解决时间等服务承诺及措施。 二、评审标准： 1、完整性：方案须全面，对评审内容中的各项要求有详细描述及说明； 2、可实施性：切合本项目实际情况，实施步骤清晰、合理； 3、针对性：方案能够紧扣项目实际情况， 内容科学合理。 三、赋分标准(满分5 分) ①②项按照评审标准要求，完全满足，得5分，以上分项每缺少一项内容扣2.5 分；有某一项不完整或不符合实际要求或不满足实施要求的每项得0.5-2 分；完全不满足、完全不符合或者未提供不得分。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 2022 年 1 月 1 日至今调查、确权、监测类项目业绩的合同或中标（成交）通知书（以合同或中标通知书的落款时间为准），每提供一份中标（成交）通知书或中标项目完整合同业绩计 2 分，最高 6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报价评审</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统一采用低价优先法计算，即满足磋商文件要求且磋商价格最低的磋商报价为评标基准价，其价格分为满分。其他供应商的价格分统一按照下列公式计算： 磋商报价得分=(磋商基准价／磋商报价)×价格权值（即15%）×100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详见附件：服务条款响应偏离表.docx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详见附件：履行合同所必需的设备和专业技术能力的承诺书.docx</w:t>
      </w:r>
    </w:p>
    <w:p>
      <w:pPr>
        <w:pStyle w:val="null3"/>
        <w:ind w:firstLine="960"/>
      </w:pPr>
      <w:r>
        <w:rPr>
          <w:rFonts w:ascii="仿宋_GB2312" w:hAnsi="仿宋_GB2312" w:cs="仿宋_GB2312" w:eastAsia="仿宋_GB2312"/>
        </w:rPr>
        <w:t>详见附件：服务技术能力.docx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详见附件：供应商认为有必要说明的事宜.docx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详见附件：供应商参与政府采购活动的承诺函.docx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