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版本号：RH采字【20250702】号20250708001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蒲城县漫泉河流域上游生态保护修复项目施工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RH采字【20250702】号</w:t>
      </w:r>
      <w:r>
        <w:br/>
      </w:r>
      <w:r>
        <w:br/>
      </w:r>
      <w:r>
        <w:br/>
      </w:r>
    </w:p>
    <w:p>
      <w:pPr>
        <w:pStyle w:val="null3"/>
        <w:jc w:val="center"/>
        <w:outlineLvl w:val="2"/>
      </w:pPr>
      <w:r>
        <w:rPr>
          <w:rFonts w:ascii="仿宋_GB2312" w:hAnsi="仿宋_GB2312" w:cs="仿宋_GB2312" w:eastAsia="仿宋_GB2312"/>
          <w:sz w:val="28"/>
          <w:b/>
        </w:rPr>
        <w:t>蒲城县自然资源局</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蒲城县自然资源局</w:t>
      </w:r>
      <w:r>
        <w:rPr>
          <w:rFonts w:ascii="仿宋_GB2312" w:hAnsi="仿宋_GB2312" w:cs="仿宋_GB2312" w:eastAsia="仿宋_GB2312"/>
        </w:rPr>
        <w:t>委托，拟对</w:t>
      </w:r>
      <w:r>
        <w:rPr>
          <w:rFonts w:ascii="仿宋_GB2312" w:hAnsi="仿宋_GB2312" w:cs="仿宋_GB2312" w:eastAsia="仿宋_GB2312"/>
        </w:rPr>
        <w:t>蒲城县漫泉河流域上游生态保护修复项目施工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RH采字【20250702】号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蒲城县漫泉河流域上游生态保护修复项目施工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蒲城县漫泉河流域上游生态保护修复项目美丽乡村建设工程、土地综合整治工程以及配套工程，项目区划分为1个施工标段，绩效面积20hm2，实际实施面积38.77hm2。详见工程量清单。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1、企业资质：投标人须具备地质灾害评估与治理施工乙级及以上资质，并取得有效的安全生产许可证，并在人员、设备、资金等方面具有相应的施工能力；</w:t>
      </w:r>
    </w:p>
    <w:p>
      <w:pPr>
        <w:pStyle w:val="null3"/>
      </w:pPr>
      <w:r>
        <w:rPr>
          <w:rFonts w:ascii="仿宋_GB2312" w:hAnsi="仿宋_GB2312" w:cs="仿宋_GB2312" w:eastAsia="仿宋_GB2312"/>
        </w:rPr>
        <w:t>2、项目负责人：拟派项目经理具备建筑工程或水利水电工程专业二级及以上注册建造师执业资格（不含临时建造师）和有效的安全生产考核合格证书（B证）</w:t>
      </w:r>
    </w:p>
    <w:p>
      <w:pPr>
        <w:pStyle w:val="null3"/>
      </w:pPr>
      <w:r>
        <w:rPr>
          <w:rFonts w:ascii="仿宋_GB2312" w:hAnsi="仿宋_GB2312" w:cs="仿宋_GB2312" w:eastAsia="仿宋_GB2312"/>
        </w:rPr>
        <w:t>3、法定代表人授权委托书：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p>
      <w:pPr>
        <w:pStyle w:val="null3"/>
      </w:pPr>
      <w:r>
        <w:rPr>
          <w:rFonts w:ascii="仿宋_GB2312" w:hAnsi="仿宋_GB2312" w:cs="仿宋_GB2312" w:eastAsia="仿宋_GB2312"/>
        </w:rPr>
        <w:t>4、声明函：本项目不接受联合体投标；单位负责人为同一人或者存在控股、管理关系的不同单位，不得参加同一项目的投标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陕西省渭南市蒲城县红旗路东段9号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徐晨辉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0913-7206951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刘菲、李瑜、石雨鑫、张丰利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029-81213967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采购包1：2,469,300.00元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商在领取《成交通知书》之前，向采购代理机构一次付清招标代理服务费。采购代理服务费的金额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蒲城县自然资源局</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及时办理隐蔽工程和中间工程的检查和验收手续。甲方不按时参加隐蔽工程和中间工程验收，乙方可以自行验收，甲方应予承认。若甲方要求复验时，乙方应按要求办理复验。若复验合格，甲方应承担复验费用，由此造成停工，工期顺延；若复验不合格，其复验及返工费用由乙方承担，工期也不顺延。 由于乙方原因造成质量事故，其返工费用由乙方承担，工期不顺延。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联系人：瑞恒项目管理有限公司招标部</w:t>
      </w:r>
    </w:p>
    <w:p>
      <w:pPr>
        <w:pStyle w:val="null3"/>
      </w:pPr>
      <w:r>
        <w:rPr>
          <w:rFonts w:ascii="仿宋_GB2312" w:hAnsi="仿宋_GB2312" w:cs="仿宋_GB2312" w:eastAsia="仿宋_GB2312"/>
        </w:rPr>
        <w:t>联系电话：029-81213967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2,469,300.00</w:t>
      </w:r>
    </w:p>
    <w:p>
      <w:pPr>
        <w:pStyle w:val="null3"/>
      </w:pPr>
      <w:r>
        <w:rPr>
          <w:rFonts w:ascii="仿宋_GB2312" w:hAnsi="仿宋_GB2312" w:cs="仿宋_GB2312" w:eastAsia="仿宋_GB2312"/>
        </w:rPr>
        <w:t>采购包最高限价（元）: 2,469,300.00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蒲城县漫泉河流域上游生态保护修复项目施工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2,469,300.00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标的名称：蒲城县漫泉河流域上游生态保护修复项目施工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 xml:space="preserve"> 1.计划工期：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）治理工期：</w:t>
            </w:r>
            <w:r>
              <w:rPr>
                <w:rFonts w:ascii="仿宋_GB2312" w:hAnsi="仿宋_GB2312" w:cs="仿宋_GB2312" w:eastAsia="仿宋_GB2312"/>
                <w:sz w:val="24"/>
              </w:rPr>
              <w:t>自合同签订之日起</w:t>
            </w:r>
            <w:r>
              <w:rPr>
                <w:rFonts w:ascii="仿宋_GB2312" w:hAnsi="仿宋_GB2312" w:cs="仿宋_GB2312" w:eastAsia="仿宋_GB2312"/>
                <w:sz w:val="24"/>
              </w:rPr>
              <w:t>6</w:t>
            </w:r>
            <w:r>
              <w:rPr>
                <w:rFonts w:ascii="仿宋_GB2312" w:hAnsi="仿宋_GB2312" w:cs="仿宋_GB2312" w:eastAsia="仿宋_GB2312"/>
                <w:sz w:val="24"/>
              </w:rPr>
              <w:t>个月内竣工；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）养护期：</w:t>
            </w:r>
            <w:r>
              <w:rPr>
                <w:rFonts w:ascii="仿宋_GB2312" w:hAnsi="仿宋_GB2312" w:cs="仿宋_GB2312" w:eastAsia="仿宋_GB2312"/>
                <w:sz w:val="24"/>
              </w:rPr>
              <w:t>3</w:t>
            </w:r>
            <w:r>
              <w:rPr>
                <w:rFonts w:ascii="仿宋_GB2312" w:hAnsi="仿宋_GB2312" w:cs="仿宋_GB2312" w:eastAsia="仿宋_GB2312"/>
                <w:sz w:val="24"/>
              </w:rPr>
              <w:t>年。</w:t>
            </w:r>
          </w:p>
          <w:p>
            <w:pPr>
              <w:pStyle w:val="null3"/>
              <w:jc w:val="both"/>
            </w:pPr>
            <w:r>
              <w:rPr>
                <w:rFonts w:ascii="仿宋_GB2312" w:hAnsi="仿宋_GB2312" w:cs="仿宋_GB2312" w:eastAsia="仿宋_GB2312"/>
                <w:sz w:val="24"/>
              </w:rPr>
              <w:t xml:space="preserve">   2.施工要求：在施工期间，中标投标人必须注意现场人员安全，加强安全措施，并对施工人员进行安全教育。施工人员必须持证上岗。因采购人工作的特殊性，要求中标投标人在施工中做到封闭性施工。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其他未列明行业。其他未列明行业划分标准为：从业人员300人以下的为中小微型企业。其中，从业人员100人及以上的为中型企业；从业人员10人及以上的为小型企业；从业人员10人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1.具有独立承担民事责任能力的法人、其他组织或自然人，并出具合法有效的营业执照或事业单位法人证书等国家规定的相关证明，自然人参与的提供其身份证明； 2.财务状况报告：（三种形式的资料提供任何一种即可）①提供2023年或2024年财务审计报告（成立时间至开标时间不足一年的可提供成立后任意时段的资产负债表）；②提供基本存款账户信息及开标日期前三个月内其基本存款账户开户银行出具的资信证明；③财政部门认可的政府采购专业担保机构出具的投标担保函；（依法不需要提供财务状况的投标供应商应提供相关证明）； 3.税收缴纳证明：提供投标文件截止时间一年内至少一个月的依法缴纳税收的相关凭据（时间以税款所属日期为准、税种须至少包含增值税或企业所得税），凭据应有税务机关或代收机关的公章或业务专用章。依法免税或无须缴纳税收的投标人，应提供相应证明文件； 4.社会保障资金缴纳证明：提供投标文件截止时间一年内至少一个月的社会保障资金缴存单据或社保机构开具的社会保险参保缴费情况证明，单据或证明上应有社保机构或代收机构的公章或业务专用章；（依法不需要缴纳社会保障资金的投标供应商应提供相关证明） 5.提供参加本次政府采购活动前三年内在经营活动中没有重大违法记录的书面声明及无不良信用记录查询结果（未被“信用中国”网站（www.creditchina.gov.cn）列入重大税收违法失信主体；不得被“中国执行信息公开网”（zxgk.court.gov.cn）列入失信被执行人名单；不得被“中国政府采购网”（www.ccgp.gov.cn）列入政府采购严重违法失信行为记录名单）；（提供“书面声明”、“信用中国”、“中国执行信息公开网”、“中国政府采购网”相应版块的查询结果截图加盖投标人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三种形式的资料提供任何一种即可）①提供2023年或2024年财务审计报告（成立时间至开标时间不足一年的可提供成立后任意时段的资产负债表）；②提供基本存款账户信息及开标日期前三个月内其基本存款账户开户银行出具的资信证明；③财政部门认可的政府采购专业担保机构出具的投标担保函；（依法不需要提供财务状况的投标供应商应提供相关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投标人须具备地质灾害评估与治理施工乙级及以上资质，并取得有效的安全生产许可证，并在人员、设备、资金等方面具有相应的施工能力；</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拟派项目经理具备建筑工程或水利水电工程专业二级及以上注册建造师执业资格（不含临时建造师）和有效的安全生产考核合格证书（B证）</w:t>
            </w:r>
          </w:p>
        </w:tc>
        <w:tc>
          <w:tcPr>
            <w:tcW w:type="dxa" w:w="1661"/>
          </w:tcPr>
          <w:p>
            <w:pPr>
              <w:pStyle w:val="null3"/>
            </w:pPr>
            <w:r>
              <w:rPr>
                <w:rFonts w:ascii="仿宋_GB2312" w:hAnsi="仿宋_GB2312" w:cs="仿宋_GB2312" w:eastAsia="仿宋_GB2312"/>
              </w:rPr>
              <w:t>项目管理机构组成表 供应商应提交的相关资格证明材料 响应函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法定代表人授权他人参加投标的，须提供法定代表人授权委托书、被授权人提交投标文件截止时间前两年内任意一个月的社会保障资金（养老保险或医疗保险）的缴纳证明及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（1）投标文件封面 （2）投标函 （3）法定代表人（负责人）委托授权书\身份证明</w:t>
            </w:r>
          </w:p>
        </w:tc>
        <w:tc>
          <w:tcPr>
            <w:tcW w:type="dxa" w:w="1661"/>
          </w:tcPr>
          <w:p>
            <w:pPr>
              <w:pStyle w:val="null3"/>
            </w:pPr>
            <w:r>
              <w:rPr>
                <w:rFonts w:ascii="仿宋_GB2312" w:hAnsi="仿宋_GB2312" w:cs="仿宋_GB2312" w:eastAsia="仿宋_GB2312"/>
              </w:rPr>
              <w:t>响应文件封面 报价函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1）措施内容完整、全面、可行性较强，得【5-8】分； 2) 措施内容较完善，可行性一般，得【3-5】分； 3) 措施内容一般，可行性较差，得【1-3】分。 未提供的不计分。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投标文件格式——技术方案.docx</w:t>
            </w:r>
          </w:p>
        </w:tc>
      </w:tr>
      <w:tr>
        <w:tc>
          <w:tcPr>
            <w:tcW w:type="dxa" w:w="831"/>
            <w:vMerge/>
          </w:tcPr>
          <w:p/>
        </w:tc>
        <w:tc>
          <w:tcPr>
            <w:tcW w:type="dxa" w:w="1661"/>
          </w:tcPr>
          <w:p>
            <w:pPr>
              <w:pStyle w:val="null3"/>
            </w:pPr>
            <w:r>
              <w:rPr>
                <w:rFonts w:ascii="仿宋_GB2312" w:hAnsi="仿宋_GB2312" w:cs="仿宋_GB2312" w:eastAsia="仿宋_GB2312"/>
              </w:rPr>
              <w:t>养护方案</w:t>
            </w:r>
          </w:p>
        </w:tc>
        <w:tc>
          <w:tcPr>
            <w:tcW w:type="dxa" w:w="2492"/>
          </w:tcPr>
          <w:p>
            <w:pPr>
              <w:pStyle w:val="null3"/>
            </w:pPr>
            <w:r>
              <w:rPr>
                <w:rFonts w:ascii="仿宋_GB2312" w:hAnsi="仿宋_GB2312" w:cs="仿宋_GB2312" w:eastAsia="仿宋_GB2312"/>
              </w:rPr>
              <w:t>针对矿山绿植栽种、修护、补栽、浇水、施肥、修剪、病虫害防治、防涝防旱以等制定详细方案，方案全面，内容针对性强得【7-10】分；方案全面，但内容针对性不强得【3-7】分；方案不全面，或无实质性内容【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投标文件格式——技术方案.docx</w:t>
            </w:r>
          </w:p>
        </w:tc>
      </w:tr>
      <w:tr>
        <w:tc>
          <w:tcPr>
            <w:tcW w:type="dxa" w:w="831"/>
            <w:vMerge/>
          </w:tcPr>
          <w:p/>
        </w:tc>
        <w:tc>
          <w:tcPr>
            <w:tcW w:type="dxa" w:w="1661"/>
          </w:tcPr>
          <w:p>
            <w:pPr>
              <w:pStyle w:val="null3"/>
            </w:pPr>
            <w:r>
              <w:rPr>
                <w:rFonts w:ascii="仿宋_GB2312" w:hAnsi="仿宋_GB2312" w:cs="仿宋_GB2312" w:eastAsia="仿宋_GB2312"/>
              </w:rPr>
              <w:t>监测方案</w:t>
            </w:r>
          </w:p>
        </w:tc>
        <w:tc>
          <w:tcPr>
            <w:tcW w:type="dxa" w:w="2492"/>
          </w:tcPr>
          <w:p>
            <w:pPr>
              <w:pStyle w:val="null3"/>
            </w:pPr>
            <w:r>
              <w:rPr>
                <w:rFonts w:ascii="仿宋_GB2312" w:hAnsi="仿宋_GB2312" w:cs="仿宋_GB2312" w:eastAsia="仿宋_GB2312"/>
              </w:rPr>
              <w:t>对矿山环境、植被生长、地质情况、水质及地质灾害等方面制定监测方案，方案全面，内容针对性强得【3-5】分；方案全面，但内容针对性不强得【1-3】分；方案不全面，或无实质性内容【0-1】分。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投标文件格式——技术方案.docx</w:t>
            </w:r>
          </w:p>
        </w:tc>
      </w:tr>
      <w:tr>
        <w:tc>
          <w:tcPr>
            <w:tcW w:type="dxa" w:w="831"/>
            <w:vMerge/>
          </w:tcPr>
          <w:p/>
        </w:tc>
        <w:tc>
          <w:tcPr>
            <w:tcW w:type="dxa" w:w="1661"/>
          </w:tcPr>
          <w:p>
            <w:pPr>
              <w:pStyle w:val="null3"/>
            </w:pPr>
            <w:r>
              <w:rPr>
                <w:rFonts w:ascii="仿宋_GB2312" w:hAnsi="仿宋_GB2312" w:cs="仿宋_GB2312" w:eastAsia="仿宋_GB2312"/>
              </w:rPr>
              <w:t>设备和材料投入计划</w:t>
            </w:r>
          </w:p>
        </w:tc>
        <w:tc>
          <w:tcPr>
            <w:tcW w:type="dxa" w:w="2492"/>
          </w:tcPr>
          <w:p>
            <w:pPr>
              <w:pStyle w:val="null3"/>
            </w:pPr>
            <w:r>
              <w:rPr>
                <w:rFonts w:ascii="仿宋_GB2312" w:hAnsi="仿宋_GB2312" w:cs="仿宋_GB2312" w:eastAsia="仿宋_GB2312"/>
              </w:rPr>
              <w:t>提供施工所投材料、设备、工具清单，种类齐全，数量充足，能保证项目顺利实施得【2-4】分；种类不全或数量较少得【0-2】分。 提供绿植选型清单：产地明确、品种准确、数量满足要求、成活率等，清单内容完整明确得【3-6】分；清单不完整得【0-3】分。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投标文件格式——技术方案.docx</w:t>
            </w:r>
          </w:p>
        </w:tc>
      </w:tr>
      <w:tr>
        <w:tc>
          <w:tcPr>
            <w:tcW w:type="dxa" w:w="831"/>
            <w:vMerge/>
          </w:tcPr>
          <w:p/>
        </w:tc>
        <w:tc>
          <w:tcPr>
            <w:tcW w:type="dxa" w:w="1661"/>
          </w:tcPr>
          <w:p>
            <w:pPr>
              <w:pStyle w:val="null3"/>
            </w:pPr>
            <w:r>
              <w:rPr>
                <w:rFonts w:ascii="仿宋_GB2312" w:hAnsi="仿宋_GB2312" w:cs="仿宋_GB2312" w:eastAsia="仿宋_GB2312"/>
              </w:rPr>
              <w:t>项目经理部组成</w:t>
            </w:r>
          </w:p>
        </w:tc>
        <w:tc>
          <w:tcPr>
            <w:tcW w:type="dxa" w:w="2492"/>
          </w:tcPr>
          <w:p>
            <w:pPr>
              <w:pStyle w:val="null3"/>
            </w:pPr>
            <w:r>
              <w:rPr>
                <w:rFonts w:ascii="仿宋_GB2312" w:hAnsi="仿宋_GB2312" w:cs="仿宋_GB2312" w:eastAsia="仿宋_GB2312"/>
              </w:rPr>
              <w:t>1.拟派项目经理具有本科学历的得2分，专科学历的得1分，其他不得分。提供项目经理类似业绩合同一份得2分，最高得4分。 2.拟派本项目施工员、质检员、安全员、材料员、预算员每人得1分，共计5分，每增加一人得1分，此项最高得9分。 注：拟派所有人员以相关证书作为审查依据，且在本单位注册，提供本单位社保缴纳凭证，未提供不得分。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投标文件格式——技术方案.docx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提供2021年1月1日起至今，供应商承担的生态修复项目业绩（以响应文件中合同复印件为准），每提供1份有效业绩得2分，最多得6分。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2.有效最低报价为基准价得30分。 3.按（有效最低报价/有效投标报价）×30的公式计算其得分。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详见附件：投标文件格式——技术方案.docx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详见附件：政采施工合同.docx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