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E6BFDC3">
      <w:pPr>
        <w:spacing w:before="624" w:beforeLines="200" w:after="624" w:afterLines="200"/>
        <w:rPr>
          <w:rFonts w:hint="eastAsia" w:ascii="宋体" w:hAnsi="宋体"/>
          <w:color w:val="auto"/>
          <w:sz w:val="36"/>
          <w:highlight w:val="none"/>
        </w:rPr>
      </w:pPr>
      <w:r>
        <w:rPr>
          <w:rFonts w:hint="eastAsia" w:ascii="宋体" w:hAnsi="宋体"/>
          <w:color w:val="auto"/>
          <w:sz w:val="36"/>
          <w:highlight w:val="none"/>
        </w:rPr>
        <w:t xml:space="preserve">政府采购项目                          </w:t>
      </w:r>
      <w:r>
        <w:rPr>
          <w:rFonts w:hint="eastAsia" w:ascii="宋体" w:hAnsi="宋体"/>
          <w:color w:val="auto"/>
          <w:sz w:val="36"/>
          <w:highlight w:val="none"/>
          <w:bdr w:val="single" w:color="auto" w:sz="4" w:space="0"/>
        </w:rPr>
        <w:t>竞争性磋商</w:t>
      </w:r>
    </w:p>
    <w:p w14:paraId="06211244">
      <w:pPr>
        <w:spacing w:before="624" w:beforeLines="200" w:after="624" w:afterLines="200"/>
        <w:jc w:val="center"/>
        <w:rPr>
          <w:rFonts w:hint="eastAsia" w:ascii="宋体" w:hAnsi="宋体"/>
          <w:b/>
          <w:bCs/>
          <w:color w:val="auto"/>
          <w:sz w:val="52"/>
          <w:highlight w:val="none"/>
        </w:rPr>
      </w:pPr>
    </w:p>
    <w:p w14:paraId="6EDCF9E9">
      <w:pPr>
        <w:spacing w:before="624" w:beforeLines="200" w:after="624" w:afterLines="200"/>
        <w:jc w:val="center"/>
        <w:rPr>
          <w:rFonts w:hint="eastAsia" w:ascii="宋体" w:hAnsi="宋体"/>
          <w:b/>
          <w:bCs/>
          <w:color w:val="auto"/>
          <w:sz w:val="52"/>
          <w:highlight w:val="none"/>
        </w:rPr>
      </w:pPr>
      <w:r>
        <w:rPr>
          <w:rFonts w:hint="eastAsia" w:ascii="宋体" w:hAnsi="宋体"/>
          <w:b/>
          <w:bCs/>
          <w:color w:val="auto"/>
          <w:sz w:val="52"/>
          <w:highlight w:val="none"/>
        </w:rPr>
        <w:t>施工合同</w:t>
      </w:r>
    </w:p>
    <w:p w14:paraId="173598B5">
      <w:pPr>
        <w:jc w:val="center"/>
        <w:rPr>
          <w:rFonts w:hint="eastAsia" w:ascii="宋体" w:hAnsi="宋体"/>
          <w:color w:val="auto"/>
          <w:sz w:val="30"/>
          <w:szCs w:val="30"/>
          <w:highlight w:val="none"/>
        </w:rPr>
      </w:pPr>
      <w:r>
        <w:rPr>
          <w:rFonts w:hint="eastAsia" w:ascii="宋体" w:hAnsi="宋体"/>
          <w:color w:val="auto"/>
          <w:sz w:val="30"/>
          <w:szCs w:val="30"/>
          <w:highlight w:val="none"/>
        </w:rPr>
        <w:t>（</w:t>
      </w:r>
      <w:r>
        <w:rPr>
          <w:rFonts w:hint="eastAsia" w:ascii="宋体" w:hAnsi="宋体"/>
          <w:color w:val="auto"/>
          <w:sz w:val="30"/>
          <w:szCs w:val="30"/>
          <w:highlight w:val="none"/>
          <w:lang w:val="en-US" w:eastAsia="zh-CN"/>
        </w:rPr>
        <w:t>项目</w:t>
      </w:r>
      <w:r>
        <w:rPr>
          <w:rFonts w:hint="eastAsia" w:ascii="宋体" w:hAnsi="宋体"/>
          <w:color w:val="auto"/>
          <w:sz w:val="30"/>
          <w:szCs w:val="30"/>
          <w:highlight w:val="none"/>
        </w:rPr>
        <w:t>编号：）</w:t>
      </w:r>
    </w:p>
    <w:p w14:paraId="20AF6EF5">
      <w:pPr>
        <w:spacing w:before="624" w:beforeLines="200" w:after="624" w:afterLines="200"/>
        <w:ind w:firstLine="1928" w:firstLineChars="600"/>
        <w:rPr>
          <w:rFonts w:hint="eastAsia" w:ascii="宋体" w:hAnsi="宋体"/>
          <w:b/>
          <w:color w:val="auto"/>
          <w:sz w:val="32"/>
          <w:szCs w:val="32"/>
          <w:highlight w:val="none"/>
        </w:rPr>
      </w:pPr>
      <w:r>
        <w:rPr>
          <w:rFonts w:hint="eastAsia" w:ascii="宋体" w:hAnsi="宋体"/>
          <w:b/>
          <w:color w:val="auto"/>
          <w:sz w:val="32"/>
          <w:szCs w:val="32"/>
          <w:highlight w:val="none"/>
        </w:rPr>
        <w:t xml:space="preserve">      </w:t>
      </w:r>
    </w:p>
    <w:p w14:paraId="7DFC69D7">
      <w:pPr>
        <w:spacing w:before="624" w:beforeLines="200" w:after="624" w:afterLines="200"/>
        <w:ind w:firstLine="964" w:firstLineChars="300"/>
        <w:rPr>
          <w:rFonts w:hint="eastAsia" w:ascii="宋体" w:hAnsi="宋体"/>
          <w:b/>
          <w:color w:val="auto"/>
          <w:sz w:val="32"/>
          <w:szCs w:val="32"/>
          <w:highlight w:val="none"/>
        </w:rPr>
      </w:pPr>
      <w:r>
        <w:rPr>
          <w:rFonts w:hint="eastAsia" w:ascii="宋体" w:hAnsi="宋体"/>
          <w:b/>
          <w:color w:val="auto"/>
          <w:sz w:val="32"/>
          <w:szCs w:val="32"/>
          <w:highlight w:val="none"/>
        </w:rPr>
        <w:t xml:space="preserve">              </w:t>
      </w:r>
    </w:p>
    <w:p w14:paraId="754AD221">
      <w:pPr>
        <w:spacing w:before="624" w:beforeLines="200" w:after="624" w:afterLines="200"/>
        <w:ind w:firstLine="960" w:firstLineChars="300"/>
        <w:rPr>
          <w:rFonts w:hint="eastAsia" w:ascii="宋体" w:hAnsi="宋体"/>
          <w:color w:val="auto"/>
          <w:sz w:val="32"/>
          <w:szCs w:val="32"/>
          <w:highlight w:val="none"/>
        </w:rPr>
      </w:pPr>
    </w:p>
    <w:p w14:paraId="3134758C">
      <w:pPr>
        <w:ind w:firstLine="2124" w:firstLineChars="664"/>
        <w:rPr>
          <w:rFonts w:hint="eastAsia" w:ascii="宋体" w:hAnsi="宋体"/>
          <w:color w:val="auto"/>
          <w:sz w:val="32"/>
          <w:szCs w:val="32"/>
          <w:highlight w:val="none"/>
        </w:rPr>
      </w:pPr>
      <w:r>
        <w:rPr>
          <w:rFonts w:hint="eastAsia" w:ascii="宋体" w:hAnsi="宋体"/>
          <w:color w:val="auto"/>
          <w:sz w:val="32"/>
          <w:szCs w:val="32"/>
          <w:highlight w:val="none"/>
        </w:rPr>
        <w:t xml:space="preserve">甲  方： </w:t>
      </w:r>
    </w:p>
    <w:p w14:paraId="09F40986">
      <w:pPr>
        <w:tabs>
          <w:tab w:val="left" w:pos="480"/>
        </w:tabs>
        <w:ind w:firstLine="2124" w:firstLineChars="664"/>
        <w:rPr>
          <w:rFonts w:hint="eastAsia" w:ascii="宋体" w:hAnsi="宋体"/>
          <w:color w:val="auto"/>
          <w:sz w:val="32"/>
          <w:szCs w:val="32"/>
          <w:highlight w:val="none"/>
        </w:rPr>
      </w:pPr>
      <w:r>
        <w:rPr>
          <w:rFonts w:hint="eastAsia" w:ascii="宋体" w:hAnsi="宋体"/>
          <w:color w:val="auto"/>
          <w:sz w:val="32"/>
          <w:szCs w:val="32"/>
          <w:highlight w:val="none"/>
        </w:rPr>
        <w:t>乙  方：</w:t>
      </w:r>
    </w:p>
    <w:p w14:paraId="28D1B1AD">
      <w:pPr>
        <w:jc w:val="center"/>
        <w:rPr>
          <w:rFonts w:hint="eastAsia" w:ascii="宋体" w:hAnsi="宋体"/>
          <w:color w:val="auto"/>
          <w:sz w:val="30"/>
          <w:szCs w:val="30"/>
          <w:highlight w:val="none"/>
        </w:rPr>
      </w:pPr>
    </w:p>
    <w:p w14:paraId="72A315AA">
      <w:pPr>
        <w:jc w:val="center"/>
        <w:rPr>
          <w:rFonts w:hint="eastAsia" w:ascii="宋体" w:hAnsi="宋体"/>
          <w:color w:val="auto"/>
          <w:sz w:val="32"/>
          <w:szCs w:val="32"/>
          <w:highlight w:val="none"/>
        </w:rPr>
      </w:pPr>
      <w:r>
        <w:rPr>
          <w:rFonts w:hint="eastAsia" w:ascii="宋体" w:hAnsi="宋体"/>
          <w:color w:val="auto"/>
          <w:sz w:val="32"/>
          <w:szCs w:val="32"/>
          <w:highlight w:val="none"/>
        </w:rPr>
        <w:t>202</w:t>
      </w:r>
      <w:r>
        <w:rPr>
          <w:rFonts w:hint="eastAsia" w:ascii="宋体" w:hAnsi="宋体"/>
          <w:color w:val="auto"/>
          <w:sz w:val="32"/>
          <w:szCs w:val="32"/>
          <w:highlight w:val="none"/>
          <w:lang w:val="en-US" w:eastAsia="zh-CN"/>
        </w:rPr>
        <w:t>5</w:t>
      </w:r>
      <w:r>
        <w:rPr>
          <w:rFonts w:hint="eastAsia" w:ascii="宋体" w:hAnsi="宋体"/>
          <w:color w:val="auto"/>
          <w:sz w:val="32"/>
          <w:szCs w:val="32"/>
          <w:highlight w:val="none"/>
        </w:rPr>
        <w:t>年</w:t>
      </w:r>
      <w:r>
        <w:rPr>
          <w:rFonts w:hint="eastAsia" w:ascii="宋体" w:hAnsi="宋体"/>
          <w:color w:val="auto"/>
          <w:sz w:val="32"/>
          <w:szCs w:val="32"/>
          <w:highlight w:val="none"/>
          <w:lang w:val="en-US" w:eastAsia="zh-CN"/>
        </w:rPr>
        <w:t xml:space="preserve"> </w:t>
      </w:r>
      <w:r>
        <w:rPr>
          <w:rFonts w:hint="eastAsia" w:ascii="宋体" w:hAnsi="宋体"/>
          <w:color w:val="auto"/>
          <w:sz w:val="32"/>
          <w:szCs w:val="32"/>
          <w:highlight w:val="none"/>
        </w:rPr>
        <w:t>月</w:t>
      </w:r>
    </w:p>
    <w:p w14:paraId="3D3E9BD3">
      <w:pPr>
        <w:jc w:val="center"/>
        <w:rPr>
          <w:rFonts w:hint="default" w:ascii="宋体" w:hAnsi="宋体" w:eastAsia="宋体"/>
          <w:color w:val="auto"/>
          <w:sz w:val="32"/>
          <w:szCs w:val="32"/>
          <w:highlight w:val="none"/>
          <w:lang w:val="en-US" w:eastAsia="zh-CN"/>
        </w:rPr>
      </w:pPr>
      <w:r>
        <w:rPr>
          <w:rFonts w:hint="eastAsia" w:ascii="宋体" w:hAnsi="宋体"/>
          <w:color w:val="auto"/>
          <w:sz w:val="32"/>
          <w:szCs w:val="32"/>
          <w:highlight w:val="none"/>
        </w:rPr>
        <w:t xml:space="preserve">中国  </w:t>
      </w:r>
      <w:r>
        <w:rPr>
          <w:rFonts w:hint="eastAsia" w:ascii="宋体" w:hAnsi="宋体"/>
          <w:color w:val="auto"/>
          <w:sz w:val="32"/>
          <w:szCs w:val="32"/>
          <w:highlight w:val="none"/>
          <w:lang w:val="en-US" w:eastAsia="zh-CN"/>
        </w:rPr>
        <w:t xml:space="preserve">渭南   </w:t>
      </w:r>
    </w:p>
    <w:p w14:paraId="1E2C7334">
      <w:pPr>
        <w:jc w:val="center"/>
        <w:rPr>
          <w:rFonts w:hint="eastAsia" w:ascii="宋体" w:hAnsi="宋体"/>
          <w:b/>
          <w:bCs/>
          <w:color w:val="auto"/>
          <w:sz w:val="32"/>
          <w:szCs w:val="32"/>
          <w:highlight w:val="none"/>
        </w:rPr>
      </w:pPr>
    </w:p>
    <w:p w14:paraId="1BEBE857">
      <w:pPr>
        <w:rPr>
          <w:rFonts w:hint="eastAsia" w:ascii="宋体" w:hAnsi="宋体"/>
          <w:b/>
          <w:bCs/>
          <w:color w:val="auto"/>
          <w:sz w:val="32"/>
          <w:szCs w:val="32"/>
          <w:highlight w:val="none"/>
        </w:rPr>
      </w:pPr>
      <w:r>
        <w:rPr>
          <w:rFonts w:hint="eastAsia" w:ascii="宋体" w:hAnsi="宋体"/>
          <w:b/>
          <w:bCs/>
          <w:color w:val="auto"/>
          <w:sz w:val="32"/>
          <w:szCs w:val="32"/>
          <w:highlight w:val="none"/>
        </w:rPr>
        <w:br w:type="page"/>
      </w:r>
    </w:p>
    <w:p w14:paraId="4D706D95">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b/>
          <w:bCs/>
          <w:color w:val="auto"/>
          <w:sz w:val="32"/>
          <w:szCs w:val="32"/>
          <w:highlight w:val="none"/>
        </w:rPr>
      </w:pPr>
      <w:r>
        <w:rPr>
          <w:rFonts w:hint="eastAsia" w:asciiTheme="minorEastAsia" w:hAnsiTheme="minorEastAsia" w:eastAsiaTheme="minorEastAsia" w:cstheme="minorEastAsia"/>
          <w:b/>
          <w:bCs/>
          <w:color w:val="auto"/>
          <w:sz w:val="32"/>
          <w:szCs w:val="32"/>
          <w:highlight w:val="none"/>
        </w:rPr>
        <w:t>工程建设施工合同</w:t>
      </w:r>
    </w:p>
    <w:p w14:paraId="7B2D2D0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甲方</w:t>
      </w:r>
      <w:r>
        <w:rPr>
          <w:rFonts w:hint="eastAsia" w:asciiTheme="minorEastAsia" w:hAnsiTheme="minorEastAsia" w:eastAsiaTheme="minorEastAsia" w:cstheme="minorEastAsia"/>
          <w:b/>
          <w:color w:val="auto"/>
          <w:sz w:val="24"/>
          <w:szCs w:val="24"/>
          <w:highlight w:val="none"/>
        </w:rPr>
        <w:t>（采购人名称全称）</w:t>
      </w:r>
      <w:r>
        <w:rPr>
          <w:rFonts w:hint="eastAsia" w:asciiTheme="minorEastAsia" w:hAnsiTheme="minorEastAsia" w:eastAsiaTheme="minorEastAsia" w:cstheme="minorEastAsia"/>
          <w:color w:val="auto"/>
          <w:sz w:val="24"/>
          <w:szCs w:val="24"/>
          <w:highlight w:val="none"/>
        </w:rPr>
        <w:t>：</w:t>
      </w:r>
    </w:p>
    <w:p w14:paraId="5365A19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乙方</w:t>
      </w:r>
      <w:r>
        <w:rPr>
          <w:rFonts w:hint="eastAsia" w:asciiTheme="minorEastAsia" w:hAnsiTheme="minorEastAsia" w:eastAsiaTheme="minorEastAsia" w:cstheme="minorEastAsia"/>
          <w:b/>
          <w:color w:val="auto"/>
          <w:sz w:val="24"/>
          <w:szCs w:val="24"/>
          <w:highlight w:val="none"/>
        </w:rPr>
        <w:t>（供应商名称全称）</w:t>
      </w:r>
      <w:r>
        <w:rPr>
          <w:rFonts w:hint="eastAsia" w:asciiTheme="minorEastAsia" w:hAnsiTheme="minorEastAsia" w:eastAsiaTheme="minorEastAsia" w:cstheme="minorEastAsia"/>
          <w:color w:val="auto"/>
          <w:sz w:val="24"/>
          <w:szCs w:val="24"/>
          <w:highlight w:val="none"/>
        </w:rPr>
        <w:t>：</w:t>
      </w:r>
    </w:p>
    <w:p w14:paraId="004B669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sz w:val="24"/>
          <w:szCs w:val="24"/>
          <w:highlight w:val="none"/>
          <w:lang w:val="en-US" w:eastAsia="zh-CN"/>
        </w:rPr>
        <w:t>本</w:t>
      </w:r>
      <w:r>
        <w:rPr>
          <w:rFonts w:hint="eastAsia" w:asciiTheme="minorEastAsia" w:hAnsiTheme="minorEastAsia" w:eastAsiaTheme="minorEastAsia" w:cstheme="minorEastAsia"/>
          <w:color w:val="auto"/>
          <w:sz w:val="24"/>
          <w:szCs w:val="24"/>
          <w:highlight w:val="none"/>
        </w:rPr>
        <w:t>工程项目按照政府采购程序组织竞争性磋商，确定乙方为蒲城县漫泉河流域上游生态保护修复项目（项目编号：</w:t>
      </w:r>
      <w:r>
        <w:rPr>
          <w:rFonts w:hint="eastAsia" w:asciiTheme="minorEastAsia" w:hAnsiTheme="minorEastAsia" w:eastAsiaTheme="minorEastAsia" w:cstheme="minorEastAsia"/>
          <w:color w:val="auto"/>
          <w:sz w:val="24"/>
          <w:szCs w:val="24"/>
          <w:highlight w:val="none"/>
          <w:lang w:val="en-US" w:eastAsia="zh-CN"/>
        </w:rPr>
        <w:t>RH采字【20250702】号</w:t>
      </w:r>
      <w:r>
        <w:rPr>
          <w:rFonts w:hint="eastAsia" w:asciiTheme="minorEastAsia" w:hAnsiTheme="minorEastAsia" w:eastAsiaTheme="minorEastAsia" w:cstheme="minorEastAsia"/>
          <w:color w:val="auto"/>
          <w:sz w:val="24"/>
          <w:szCs w:val="24"/>
          <w:highlight w:val="none"/>
        </w:rPr>
        <w:t>）成交供应商。依据《中华人民共和国政府采购法》、《中华人民共和国招投标法》、《中华人民共和国民法典》、《中华人民共和国建筑法》以及采购代理机构竞争性磋商文件、成交通知书，经甲、乙双方协商，达成如下合同条款。</w:t>
      </w:r>
    </w:p>
    <w:p w14:paraId="7D560289">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Theme="minorEastAsia" w:hAnsiTheme="minorEastAsia" w:eastAsiaTheme="minorEastAsia" w:cstheme="minorEastAsia"/>
          <w:b/>
          <w:color w:val="auto"/>
          <w:kern w:val="0"/>
          <w:sz w:val="24"/>
          <w:szCs w:val="24"/>
          <w:highlight w:val="none"/>
        </w:rPr>
      </w:pPr>
      <w:r>
        <w:rPr>
          <w:rFonts w:hint="eastAsia" w:asciiTheme="minorEastAsia" w:hAnsiTheme="minorEastAsia" w:eastAsiaTheme="minorEastAsia" w:cstheme="minorEastAsia"/>
          <w:b/>
          <w:color w:val="auto"/>
          <w:kern w:val="0"/>
          <w:sz w:val="24"/>
          <w:szCs w:val="24"/>
          <w:highlight w:val="none"/>
        </w:rPr>
        <w:t>一、工程概况</w:t>
      </w:r>
    </w:p>
    <w:p w14:paraId="47381DB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1、工程名称：</w:t>
      </w:r>
      <w:r>
        <w:rPr>
          <w:rFonts w:hint="eastAsia" w:asciiTheme="minorEastAsia" w:hAnsiTheme="minorEastAsia" w:eastAsiaTheme="minorEastAsia" w:cstheme="minorEastAsia"/>
          <w:color w:val="auto"/>
          <w:sz w:val="24"/>
          <w:szCs w:val="24"/>
          <w:highlight w:val="none"/>
        </w:rPr>
        <w:t>蒲城县漫泉河流域上游生态保护修复项目</w:t>
      </w:r>
    </w:p>
    <w:p w14:paraId="107CEDD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b w:val="0"/>
          <w:bCs/>
          <w:color w:val="auto"/>
          <w:sz w:val="24"/>
          <w:szCs w:val="24"/>
          <w:highlight w:val="none"/>
          <w:lang w:val="en-US" w:eastAsia="zh-CN"/>
        </w:rPr>
      </w:pPr>
      <w:r>
        <w:rPr>
          <w:rFonts w:hint="eastAsia" w:asciiTheme="minorEastAsia" w:hAnsiTheme="minorEastAsia" w:eastAsiaTheme="minorEastAsia" w:cstheme="minorEastAsia"/>
          <w:color w:val="auto"/>
          <w:kern w:val="0"/>
          <w:sz w:val="24"/>
          <w:szCs w:val="24"/>
          <w:highlight w:val="none"/>
        </w:rPr>
        <w:t>2、工程地点：</w:t>
      </w:r>
      <w:r>
        <w:rPr>
          <w:rFonts w:hint="eastAsia" w:asciiTheme="minorEastAsia" w:hAnsiTheme="minorEastAsia" w:eastAsiaTheme="minorEastAsia" w:cstheme="minorEastAsia"/>
          <w:color w:val="auto"/>
          <w:kern w:val="0"/>
          <w:sz w:val="24"/>
          <w:szCs w:val="24"/>
          <w:highlight w:val="none"/>
          <w:lang w:val="en-US" w:eastAsia="zh-CN"/>
        </w:rPr>
        <w:t>陕西省渭南市</w:t>
      </w:r>
      <w:r>
        <w:rPr>
          <w:rFonts w:hint="eastAsia" w:asciiTheme="minorEastAsia" w:hAnsiTheme="minorEastAsia" w:eastAsiaTheme="minorEastAsia" w:cstheme="minorEastAsia"/>
          <w:color w:val="auto"/>
          <w:sz w:val="24"/>
          <w:szCs w:val="24"/>
          <w:highlight w:val="none"/>
        </w:rPr>
        <w:t>蒲城县</w:t>
      </w:r>
    </w:p>
    <w:p w14:paraId="5352146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color w:val="auto"/>
          <w:kern w:val="0"/>
          <w:sz w:val="24"/>
          <w:szCs w:val="24"/>
          <w:highlight w:val="none"/>
          <w:lang w:eastAsia="zh-CN"/>
        </w:rPr>
      </w:pPr>
      <w:r>
        <w:rPr>
          <w:rFonts w:hint="eastAsia" w:asciiTheme="minorEastAsia" w:hAnsiTheme="minorEastAsia" w:eastAsiaTheme="minorEastAsia" w:cstheme="minorEastAsia"/>
          <w:color w:val="auto"/>
          <w:kern w:val="0"/>
          <w:sz w:val="24"/>
          <w:szCs w:val="24"/>
          <w:highlight w:val="none"/>
        </w:rPr>
        <w:t>3、承包范围：</w:t>
      </w:r>
      <w:r>
        <w:rPr>
          <w:rFonts w:hint="eastAsia" w:asciiTheme="minorEastAsia" w:hAnsiTheme="minorEastAsia" w:eastAsiaTheme="minorEastAsia" w:cstheme="minorEastAsia"/>
          <w:color w:val="auto"/>
          <w:kern w:val="0"/>
          <w:sz w:val="24"/>
          <w:szCs w:val="24"/>
          <w:highlight w:val="none"/>
          <w:lang w:val="en-US" w:eastAsia="zh-CN"/>
        </w:rPr>
        <w:t>蒲城县漫泉河流域上游生态保护修复项目美丽乡村建设工程、土地综合整治工程以及配套工程，项目区划分为1个施工标段，绩效面积20hm2，实际实施面积38.77hm2。详见工程量清单。</w:t>
      </w:r>
    </w:p>
    <w:p w14:paraId="0723E81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heme="minorEastAsia" w:hAnsiTheme="minorEastAsia" w:eastAsiaTheme="minorEastAsia" w:cstheme="minorEastAsia"/>
          <w:color w:val="auto"/>
          <w:kern w:val="0"/>
          <w:sz w:val="24"/>
          <w:szCs w:val="24"/>
          <w:highlight w:val="none"/>
          <w:lang w:val="en-US" w:eastAsia="zh-CN"/>
        </w:rPr>
      </w:pPr>
      <w:r>
        <w:rPr>
          <w:rFonts w:hint="eastAsia" w:asciiTheme="minorEastAsia" w:hAnsiTheme="minorEastAsia" w:eastAsiaTheme="minorEastAsia" w:cstheme="minorEastAsia"/>
          <w:color w:val="auto"/>
          <w:kern w:val="0"/>
          <w:sz w:val="24"/>
          <w:szCs w:val="24"/>
          <w:highlight w:val="none"/>
        </w:rPr>
        <w:t>4、承包方式：</w:t>
      </w:r>
      <w:r>
        <w:rPr>
          <w:rFonts w:hint="eastAsia" w:asciiTheme="minorEastAsia" w:hAnsiTheme="minorEastAsia" w:eastAsiaTheme="minorEastAsia" w:cstheme="minorEastAsia"/>
          <w:color w:val="auto"/>
          <w:sz w:val="24"/>
          <w:szCs w:val="24"/>
          <w:highlight w:val="none"/>
        </w:rPr>
        <w:t>本工程采用包工包料、包质量、包安全、包文明施工、包验收的承包方式。本工程中各分项工程不允许分包。</w:t>
      </w:r>
    </w:p>
    <w:p w14:paraId="036CA0C1">
      <w:pPr>
        <w:tabs>
          <w:tab w:val="left" w:pos="2700"/>
        </w:tabs>
        <w:adjustRightInd w:val="0"/>
        <w:snapToGrid w:val="0"/>
        <w:spacing w:line="432" w:lineRule="auto"/>
        <w:ind w:firstLine="480" w:firstLineChars="200"/>
        <w:rPr>
          <w:rFonts w:hint="eastAsia" w:ascii="微软雅黑" w:hAnsi="微软雅黑" w:eastAsia="微软雅黑" w:cs="微软雅黑"/>
          <w:i w:val="0"/>
          <w:iCs w:val="0"/>
          <w:caps w:val="0"/>
          <w:color w:val="333333"/>
          <w:spacing w:val="0"/>
          <w:kern w:val="0"/>
          <w:sz w:val="21"/>
          <w:szCs w:val="21"/>
          <w:highlight w:val="none"/>
          <w:shd w:val="clear" w:color="auto" w:fill="FFFFFF"/>
          <w:vertAlign w:val="baseline"/>
          <w:lang w:val="en-US" w:eastAsia="zh-CN" w:bidi="ar"/>
        </w:rPr>
      </w:pPr>
      <w:r>
        <w:rPr>
          <w:rFonts w:hint="eastAsia" w:asciiTheme="minorEastAsia" w:hAnsiTheme="minorEastAsia" w:eastAsiaTheme="minorEastAsia" w:cstheme="minorEastAsia"/>
          <w:color w:val="auto"/>
          <w:kern w:val="0"/>
          <w:sz w:val="24"/>
          <w:szCs w:val="24"/>
          <w:highlight w:val="none"/>
        </w:rPr>
        <w:t>5、工    期：</w:t>
      </w:r>
      <w:r>
        <w:rPr>
          <w:rFonts w:hint="eastAsia" w:asciiTheme="minorEastAsia" w:hAnsiTheme="minorEastAsia" w:eastAsiaTheme="minorEastAsia" w:cstheme="minorEastAsia"/>
          <w:color w:val="auto"/>
          <w:sz w:val="24"/>
          <w:szCs w:val="24"/>
          <w:highlight w:val="none"/>
          <w:lang w:val="en-US" w:eastAsia="zh-CN"/>
        </w:rPr>
        <w:t>治理工期：自合同签订之日起6个月内竣工；养护期：3年。</w:t>
      </w:r>
    </w:p>
    <w:p w14:paraId="5B317EE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6、开工日期：2</w:t>
      </w:r>
      <w:r>
        <w:rPr>
          <w:rFonts w:hint="eastAsia" w:asciiTheme="minorEastAsia" w:hAnsiTheme="minorEastAsia" w:eastAsiaTheme="minorEastAsia" w:cstheme="minorEastAsia"/>
          <w:color w:val="auto"/>
          <w:sz w:val="24"/>
          <w:szCs w:val="24"/>
          <w:highlight w:val="none"/>
          <w:lang w:val="en-US" w:eastAsia="zh-CN"/>
        </w:rPr>
        <w:t>02</w:t>
      </w:r>
      <w:r>
        <w:rPr>
          <w:rFonts w:hint="eastAsia" w:asciiTheme="minorEastAsia" w:hAnsiTheme="minorEastAsia" w:eastAsiaTheme="minorEastAsia" w:cstheme="minorEastAsia"/>
          <w:color w:val="auto"/>
          <w:sz w:val="24"/>
          <w:szCs w:val="24"/>
          <w:highlight w:val="none"/>
          <w:u w:val="single"/>
          <w:lang w:val="en-US" w:eastAsia="zh-CN"/>
        </w:rPr>
        <w:t xml:space="preserve">  </w:t>
      </w:r>
      <w:r>
        <w:rPr>
          <w:rFonts w:hint="eastAsia" w:asciiTheme="minorEastAsia" w:hAnsiTheme="minorEastAsia" w:eastAsiaTheme="minorEastAsia" w:cstheme="minorEastAsia"/>
          <w:color w:val="auto"/>
          <w:kern w:val="0"/>
          <w:sz w:val="24"/>
          <w:szCs w:val="24"/>
          <w:highlight w:val="none"/>
        </w:rPr>
        <w:t>年</w:t>
      </w:r>
      <w:r>
        <w:rPr>
          <w:rFonts w:hint="eastAsia" w:asciiTheme="minorEastAsia" w:hAnsiTheme="minorEastAsia" w:eastAsiaTheme="minorEastAsia" w:cstheme="minorEastAsia"/>
          <w:color w:val="auto"/>
          <w:sz w:val="24"/>
          <w:szCs w:val="24"/>
          <w:highlight w:val="none"/>
          <w:u w:val="single"/>
          <w:lang w:val="en-US" w:eastAsia="zh-CN"/>
        </w:rPr>
        <w:t xml:space="preserve">  </w:t>
      </w:r>
      <w:r>
        <w:rPr>
          <w:rFonts w:hint="eastAsia" w:asciiTheme="minorEastAsia" w:hAnsiTheme="minorEastAsia" w:eastAsiaTheme="minorEastAsia" w:cstheme="minorEastAsia"/>
          <w:color w:val="auto"/>
          <w:sz w:val="24"/>
          <w:szCs w:val="24"/>
          <w:highlight w:val="none"/>
          <w:lang w:val="en-US" w:eastAsia="zh-CN"/>
        </w:rPr>
        <w:t xml:space="preserve"> </w:t>
      </w:r>
      <w:r>
        <w:rPr>
          <w:rFonts w:hint="eastAsia" w:asciiTheme="minorEastAsia" w:hAnsiTheme="minorEastAsia" w:eastAsiaTheme="minorEastAsia" w:cstheme="minorEastAsia"/>
          <w:color w:val="auto"/>
          <w:kern w:val="0"/>
          <w:sz w:val="24"/>
          <w:szCs w:val="24"/>
          <w:highlight w:val="none"/>
        </w:rPr>
        <w:t>月</w:t>
      </w:r>
      <w:r>
        <w:rPr>
          <w:rFonts w:hint="eastAsia" w:asciiTheme="minorEastAsia" w:hAnsiTheme="minorEastAsia" w:eastAsiaTheme="minorEastAsia" w:cstheme="minorEastAsia"/>
          <w:color w:val="auto"/>
          <w:sz w:val="24"/>
          <w:szCs w:val="24"/>
          <w:highlight w:val="none"/>
          <w:lang w:val="en-US" w:eastAsia="zh-CN"/>
        </w:rPr>
        <w:t xml:space="preserve"> </w:t>
      </w:r>
      <w:r>
        <w:rPr>
          <w:rFonts w:hint="eastAsia" w:asciiTheme="minorEastAsia" w:hAnsiTheme="minorEastAsia" w:eastAsiaTheme="minorEastAsia" w:cstheme="minorEastAsia"/>
          <w:color w:val="auto"/>
          <w:sz w:val="24"/>
          <w:szCs w:val="24"/>
          <w:highlight w:val="none"/>
          <w:u w:val="single"/>
          <w:lang w:val="en-US" w:eastAsia="zh-CN"/>
        </w:rPr>
        <w:t xml:space="preserve">  </w:t>
      </w:r>
      <w:r>
        <w:rPr>
          <w:rFonts w:hint="eastAsia" w:asciiTheme="minorEastAsia" w:hAnsiTheme="minorEastAsia" w:eastAsiaTheme="minorEastAsia" w:cstheme="minorEastAsia"/>
          <w:color w:val="auto"/>
          <w:kern w:val="0"/>
          <w:sz w:val="24"/>
          <w:szCs w:val="24"/>
          <w:highlight w:val="none"/>
        </w:rPr>
        <w:t>日</w:t>
      </w:r>
    </w:p>
    <w:p w14:paraId="29A53A5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7、竣工日期：</w:t>
      </w:r>
      <w:r>
        <w:rPr>
          <w:rFonts w:hint="eastAsia" w:asciiTheme="minorEastAsia" w:hAnsiTheme="minorEastAsia" w:eastAsiaTheme="minorEastAsia" w:cstheme="minorEastAsia"/>
          <w:color w:val="auto"/>
          <w:kern w:val="0"/>
          <w:sz w:val="24"/>
          <w:szCs w:val="24"/>
          <w:highlight w:val="none"/>
          <w:lang w:val="en-US" w:eastAsia="zh-CN"/>
        </w:rPr>
        <w:t>202</w:t>
      </w:r>
      <w:r>
        <w:rPr>
          <w:rFonts w:hint="eastAsia" w:asciiTheme="minorEastAsia" w:hAnsiTheme="minorEastAsia" w:eastAsiaTheme="minorEastAsia" w:cstheme="minorEastAsia"/>
          <w:color w:val="auto"/>
          <w:kern w:val="0"/>
          <w:sz w:val="24"/>
          <w:szCs w:val="24"/>
          <w:highlight w:val="none"/>
          <w:u w:val="single"/>
          <w:lang w:val="en-US" w:eastAsia="zh-CN"/>
        </w:rPr>
        <w:t xml:space="preserve">  </w:t>
      </w:r>
      <w:r>
        <w:rPr>
          <w:rFonts w:hint="eastAsia" w:asciiTheme="minorEastAsia" w:hAnsiTheme="minorEastAsia" w:eastAsiaTheme="minorEastAsia" w:cstheme="minorEastAsia"/>
          <w:color w:val="auto"/>
          <w:kern w:val="0"/>
          <w:sz w:val="24"/>
          <w:szCs w:val="24"/>
          <w:highlight w:val="none"/>
        </w:rPr>
        <w:t>年</w:t>
      </w:r>
      <w:r>
        <w:rPr>
          <w:rFonts w:hint="eastAsia" w:asciiTheme="minorEastAsia" w:hAnsiTheme="minorEastAsia" w:eastAsiaTheme="minorEastAsia" w:cstheme="minorEastAsia"/>
          <w:color w:val="auto"/>
          <w:sz w:val="24"/>
          <w:szCs w:val="24"/>
          <w:highlight w:val="none"/>
          <w:u w:val="single"/>
          <w:lang w:val="en-US" w:eastAsia="zh-CN"/>
        </w:rPr>
        <w:t xml:space="preserve">  </w:t>
      </w:r>
      <w:r>
        <w:rPr>
          <w:rFonts w:hint="eastAsia" w:asciiTheme="minorEastAsia" w:hAnsiTheme="minorEastAsia" w:eastAsiaTheme="minorEastAsia" w:cstheme="minorEastAsia"/>
          <w:color w:val="auto"/>
          <w:kern w:val="0"/>
          <w:sz w:val="24"/>
          <w:szCs w:val="24"/>
          <w:highlight w:val="none"/>
          <w:lang w:val="en-US" w:eastAsia="zh-CN"/>
        </w:rPr>
        <w:t xml:space="preserve"> </w:t>
      </w:r>
      <w:r>
        <w:rPr>
          <w:rFonts w:hint="eastAsia" w:asciiTheme="minorEastAsia" w:hAnsiTheme="minorEastAsia" w:eastAsiaTheme="minorEastAsia" w:cstheme="minorEastAsia"/>
          <w:color w:val="auto"/>
          <w:kern w:val="0"/>
          <w:sz w:val="24"/>
          <w:szCs w:val="24"/>
          <w:highlight w:val="none"/>
        </w:rPr>
        <w:t>月</w:t>
      </w:r>
      <w:r>
        <w:rPr>
          <w:rFonts w:hint="eastAsia" w:asciiTheme="minorEastAsia" w:hAnsiTheme="minorEastAsia" w:eastAsiaTheme="minorEastAsia" w:cstheme="minorEastAsia"/>
          <w:color w:val="auto"/>
          <w:sz w:val="24"/>
          <w:szCs w:val="24"/>
          <w:highlight w:val="none"/>
          <w:u w:val="single"/>
          <w:lang w:val="en-US" w:eastAsia="zh-CN"/>
        </w:rPr>
        <w:t xml:space="preserve">  </w:t>
      </w:r>
      <w:r>
        <w:rPr>
          <w:rFonts w:hint="eastAsia" w:asciiTheme="minorEastAsia" w:hAnsiTheme="minorEastAsia" w:eastAsiaTheme="minorEastAsia" w:cstheme="minorEastAsia"/>
          <w:color w:val="auto"/>
          <w:sz w:val="24"/>
          <w:szCs w:val="24"/>
          <w:highlight w:val="none"/>
          <w:lang w:val="en-US" w:eastAsia="zh-CN"/>
        </w:rPr>
        <w:t xml:space="preserve"> </w:t>
      </w:r>
      <w:r>
        <w:rPr>
          <w:rFonts w:hint="eastAsia" w:asciiTheme="minorEastAsia" w:hAnsiTheme="minorEastAsia" w:eastAsiaTheme="minorEastAsia" w:cstheme="minorEastAsia"/>
          <w:color w:val="auto"/>
          <w:kern w:val="0"/>
          <w:sz w:val="24"/>
          <w:szCs w:val="24"/>
          <w:highlight w:val="none"/>
        </w:rPr>
        <w:t>日</w:t>
      </w:r>
    </w:p>
    <w:p w14:paraId="06E8FDF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8、工程质量：合格</w:t>
      </w:r>
    </w:p>
    <w:p w14:paraId="0CFD2A8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9、合同价款：</w:t>
      </w:r>
      <w:r>
        <w:rPr>
          <w:rFonts w:hint="eastAsia" w:asciiTheme="minorEastAsia" w:hAnsiTheme="minorEastAsia" w:eastAsiaTheme="minorEastAsia" w:cstheme="minorEastAsia"/>
          <w:color w:val="auto"/>
          <w:sz w:val="24"/>
          <w:szCs w:val="24"/>
          <w:highlight w:val="none"/>
        </w:rPr>
        <w:t>人民币（大写）</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rPr>
        <w:t>；￥</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rPr>
        <w:t>元。</w:t>
      </w:r>
    </w:p>
    <w:p w14:paraId="6FAF08FB">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Theme="minorEastAsia" w:hAnsiTheme="minorEastAsia" w:eastAsiaTheme="minorEastAsia" w:cstheme="minorEastAsia"/>
          <w:b/>
          <w:color w:val="auto"/>
          <w:kern w:val="0"/>
          <w:sz w:val="24"/>
          <w:szCs w:val="24"/>
          <w:highlight w:val="none"/>
        </w:rPr>
      </w:pPr>
      <w:r>
        <w:rPr>
          <w:rFonts w:hint="eastAsia" w:asciiTheme="minorEastAsia" w:hAnsiTheme="minorEastAsia" w:eastAsiaTheme="minorEastAsia" w:cstheme="minorEastAsia"/>
          <w:b/>
          <w:color w:val="auto"/>
          <w:kern w:val="0"/>
          <w:sz w:val="24"/>
          <w:szCs w:val="24"/>
          <w:highlight w:val="none"/>
        </w:rPr>
        <w:t>二、甲方工作</w:t>
      </w:r>
    </w:p>
    <w:p w14:paraId="4B1BB475">
      <w:pPr>
        <w:keepNext w:val="0"/>
        <w:keepLines w:val="0"/>
        <w:pageBreakBefore w:val="0"/>
        <w:widowControl w:val="0"/>
        <w:kinsoku/>
        <w:wordWrap/>
        <w:overflowPunct/>
        <w:topLinePunct w:val="0"/>
        <w:autoSpaceDE/>
        <w:autoSpaceDN/>
        <w:bidi w:val="0"/>
        <w:adjustRightInd/>
        <w:snapToGrid/>
        <w:spacing w:line="360" w:lineRule="auto"/>
        <w:ind w:left="300" w:leftChars="143" w:firstLine="240" w:firstLineChars="100"/>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1、开工前三天，向乙方提供经确认的施工图纸或做法说明三份，并向乙方进行</w:t>
      </w:r>
    </w:p>
    <w:p w14:paraId="4BC7350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现场交底。向乙方提供施工场地资料、地形图</w:t>
      </w:r>
      <w:r>
        <w:rPr>
          <w:rFonts w:hint="eastAsia" w:asciiTheme="minorEastAsia" w:hAnsiTheme="minorEastAsia" w:eastAsiaTheme="minorEastAsia" w:cstheme="minorEastAsia"/>
          <w:color w:val="auto"/>
          <w:kern w:val="0"/>
          <w:sz w:val="24"/>
          <w:szCs w:val="24"/>
          <w:highlight w:val="none"/>
          <w:lang w:val="en-US" w:eastAsia="zh-CN"/>
        </w:rPr>
        <w:t>等</w:t>
      </w:r>
      <w:r>
        <w:rPr>
          <w:rFonts w:hint="eastAsia" w:asciiTheme="minorEastAsia" w:hAnsiTheme="minorEastAsia" w:eastAsiaTheme="minorEastAsia" w:cstheme="minorEastAsia"/>
          <w:color w:val="auto"/>
          <w:kern w:val="0"/>
          <w:sz w:val="24"/>
          <w:szCs w:val="24"/>
          <w:highlight w:val="none"/>
        </w:rPr>
        <w:t>资料各一份，并保证资料真实准确。向乙方提供施工所需的水、电接口，并说明使用注意事项。办理施工所涉及的各种申请、批件等手续。</w:t>
      </w:r>
    </w:p>
    <w:p w14:paraId="1CFF7409">
      <w:pPr>
        <w:keepNext w:val="0"/>
        <w:keepLines w:val="0"/>
        <w:pageBreakBefore w:val="0"/>
        <w:widowControl w:val="0"/>
        <w:kinsoku/>
        <w:wordWrap/>
        <w:overflowPunct/>
        <w:topLinePunct w:val="0"/>
        <w:autoSpaceDE/>
        <w:autoSpaceDN/>
        <w:bidi w:val="0"/>
        <w:adjustRightInd/>
        <w:snapToGrid/>
        <w:spacing w:line="360" w:lineRule="auto"/>
        <w:ind w:left="300"/>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 xml:space="preserve">  2、指派</w:t>
      </w:r>
      <w:r>
        <w:rPr>
          <w:rFonts w:hint="eastAsia" w:asciiTheme="minorEastAsia" w:hAnsiTheme="minorEastAsia" w:eastAsiaTheme="minorEastAsia" w:cstheme="minorEastAsia"/>
          <w:color w:val="auto"/>
          <w:sz w:val="24"/>
          <w:szCs w:val="24"/>
          <w:highlight w:val="none"/>
          <w:u w:val="single"/>
          <w:lang w:val="en-US" w:eastAsia="zh-CN"/>
        </w:rPr>
        <w:t xml:space="preserve">     </w:t>
      </w:r>
      <w:r>
        <w:rPr>
          <w:rFonts w:hint="eastAsia" w:asciiTheme="minorEastAsia" w:hAnsiTheme="minorEastAsia" w:eastAsiaTheme="minorEastAsia" w:cstheme="minorEastAsia"/>
          <w:color w:val="auto"/>
          <w:kern w:val="0"/>
          <w:sz w:val="24"/>
          <w:szCs w:val="24"/>
          <w:highlight w:val="none"/>
        </w:rPr>
        <w:t>为甲方驻工地代表，负责合同履行。对工程质量、进度进行监督</w:t>
      </w:r>
    </w:p>
    <w:p w14:paraId="1966CD7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检查，办理验收、变更、登记手续和其他事宜。</w:t>
      </w:r>
    </w:p>
    <w:p w14:paraId="12D8B88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3、协助乙方保护好周围建筑物及装修、设备管线。</w:t>
      </w:r>
    </w:p>
    <w:p w14:paraId="30C99CC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4、负责办理施工场地的拆迁，清理地上地下障碍物，并在开工后负责解决以上事项的遗留问题。</w:t>
      </w:r>
    </w:p>
    <w:p w14:paraId="1AA9DAA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5、将水准点与坐标控制点以书面形式交给乙方，并进行现场交验，乙方正式放线后，及时请城建管理部门进行验线。</w:t>
      </w:r>
    </w:p>
    <w:p w14:paraId="2E66DF3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6、协助乙方做好现场保卫、消防、垃圾处理等工作。</w:t>
      </w:r>
    </w:p>
    <w:p w14:paraId="37F1B03A">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Theme="minorEastAsia" w:hAnsiTheme="minorEastAsia" w:eastAsiaTheme="minorEastAsia" w:cstheme="minorEastAsia"/>
          <w:b/>
          <w:color w:val="auto"/>
          <w:kern w:val="0"/>
          <w:sz w:val="24"/>
          <w:szCs w:val="24"/>
          <w:highlight w:val="none"/>
        </w:rPr>
      </w:pPr>
      <w:r>
        <w:rPr>
          <w:rFonts w:hint="eastAsia" w:asciiTheme="minorEastAsia" w:hAnsiTheme="minorEastAsia" w:eastAsiaTheme="minorEastAsia" w:cstheme="minorEastAsia"/>
          <w:b/>
          <w:color w:val="auto"/>
          <w:kern w:val="0"/>
          <w:sz w:val="24"/>
          <w:szCs w:val="24"/>
          <w:highlight w:val="none"/>
        </w:rPr>
        <w:t>三、乙方工作</w:t>
      </w:r>
    </w:p>
    <w:p w14:paraId="7956391C">
      <w:pPr>
        <w:keepNext w:val="0"/>
        <w:keepLines w:val="0"/>
        <w:pageBreakBefore w:val="0"/>
        <w:widowControl w:val="0"/>
        <w:kinsoku/>
        <w:wordWrap/>
        <w:overflowPunct/>
        <w:topLinePunct w:val="0"/>
        <w:autoSpaceDE/>
        <w:autoSpaceDN/>
        <w:bidi w:val="0"/>
        <w:adjustRightInd/>
        <w:snapToGrid/>
        <w:spacing w:line="360" w:lineRule="auto"/>
        <w:ind w:left="300"/>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 xml:space="preserve">  1、会同甲方于开工前按有关规定办理施工许可证。参加甲方组织的施工图纸或</w:t>
      </w:r>
    </w:p>
    <w:p w14:paraId="56B2290C">
      <w:pPr>
        <w:keepNext w:val="0"/>
        <w:keepLines w:val="0"/>
        <w:pageBreakBefore w:val="0"/>
        <w:widowControl w:val="0"/>
        <w:kinsoku/>
        <w:wordWrap/>
        <w:overflowPunct/>
        <w:topLinePunct w:val="0"/>
        <w:autoSpaceDE/>
        <w:autoSpaceDN/>
        <w:bidi w:val="0"/>
        <w:adjustRightInd/>
        <w:snapToGrid/>
        <w:spacing w:line="360" w:lineRule="auto"/>
        <w:ind w:left="480" w:hanging="480" w:hangingChars="200"/>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做法说明的现场交底，拟定对本工程有针对性的施工方案和进度计划，交甲方审定。2、指派</w:t>
      </w:r>
      <w:r>
        <w:rPr>
          <w:rFonts w:hint="eastAsia" w:asciiTheme="minorEastAsia" w:hAnsiTheme="minorEastAsia" w:eastAsiaTheme="minorEastAsia" w:cstheme="minorEastAsia"/>
          <w:color w:val="auto"/>
          <w:sz w:val="24"/>
          <w:szCs w:val="24"/>
          <w:highlight w:val="none"/>
          <w:u w:val="single"/>
          <w:lang w:val="en-US" w:eastAsia="zh-CN"/>
        </w:rPr>
        <w:t xml:space="preserve">      </w:t>
      </w:r>
      <w:r>
        <w:rPr>
          <w:rFonts w:hint="eastAsia" w:asciiTheme="minorEastAsia" w:hAnsiTheme="minorEastAsia" w:eastAsiaTheme="minorEastAsia" w:cstheme="minorEastAsia"/>
          <w:color w:val="auto"/>
          <w:kern w:val="0"/>
          <w:sz w:val="24"/>
          <w:szCs w:val="24"/>
          <w:highlight w:val="none"/>
        </w:rPr>
        <w:t>为乙方驻工地代表，负责合同履行。按要求组织施工，保质保量、</w:t>
      </w:r>
    </w:p>
    <w:p w14:paraId="3CD9CC6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按期完成施工任务，解决由乙方负责的各项事宜。</w:t>
      </w:r>
    </w:p>
    <w:p w14:paraId="315D2CE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 xml:space="preserve">3、严格执行施工规范、安全操作规程、防火安全规定、环境保护规定。严格按照图纸或做法说明进行施工，做好各项质量检查记录。参加工程验收，编制工程结算。 </w:t>
      </w:r>
    </w:p>
    <w:p w14:paraId="682D3FF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4、遵守国家或地方政府及有关部门对施工现场管理的规定，妥善保护好施工现场建筑物、设备管线不受损坏。做好施工现场保卫和垃圾清理等工作，处理好由于施工带来的扰民问题及与周围单位的关系。</w:t>
      </w:r>
    </w:p>
    <w:p w14:paraId="57B0F8B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5、施工中未经甲方同意或有关部门批准，不得随意拆改原建筑物结构及各种设备管线。</w:t>
      </w:r>
    </w:p>
    <w:p w14:paraId="286CC94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6、工程竣工未移交甲方之前，负责对现场的一切设备和工程成品进行保护。</w:t>
      </w:r>
    </w:p>
    <w:p w14:paraId="03719F4B">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Theme="minorEastAsia" w:hAnsiTheme="minorEastAsia" w:eastAsiaTheme="minorEastAsia" w:cstheme="minorEastAsia"/>
          <w:b/>
          <w:color w:val="auto"/>
          <w:kern w:val="0"/>
          <w:sz w:val="24"/>
          <w:szCs w:val="24"/>
          <w:highlight w:val="none"/>
        </w:rPr>
      </w:pPr>
      <w:r>
        <w:rPr>
          <w:rFonts w:hint="eastAsia" w:asciiTheme="minorEastAsia" w:hAnsiTheme="minorEastAsia" w:eastAsiaTheme="minorEastAsia" w:cstheme="minorEastAsia"/>
          <w:b/>
          <w:color w:val="auto"/>
          <w:kern w:val="0"/>
          <w:sz w:val="24"/>
          <w:szCs w:val="24"/>
          <w:highlight w:val="none"/>
        </w:rPr>
        <w:t>四、关于工期的约定</w:t>
      </w:r>
    </w:p>
    <w:p w14:paraId="2DCE359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b/>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1、乙方必须严格按照工期约定完工，不得推迟。</w:t>
      </w:r>
    </w:p>
    <w:p w14:paraId="4440208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b/>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2、甲方要求比合同约定的工期提前竣工时，经分析新工期要求合理，乙方应予</w:t>
      </w:r>
    </w:p>
    <w:p w14:paraId="14F0673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执行。</w:t>
      </w:r>
    </w:p>
    <w:p w14:paraId="17F726B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3、因甲方未按约定完成工作而影响进度，工期顺延。</w:t>
      </w:r>
    </w:p>
    <w:p w14:paraId="48BEF02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4、因乙方责任，不能按期开工或中途无故停工，影响进度，工期不顺延。</w:t>
      </w:r>
    </w:p>
    <w:p w14:paraId="684D232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5、因设计变更或非乙方原因造成的停电、停水及不可抗力因素，导致停工</w:t>
      </w:r>
      <w:r>
        <w:rPr>
          <w:rFonts w:hint="eastAsia" w:asciiTheme="minorEastAsia" w:hAnsiTheme="minorEastAsia" w:eastAsiaTheme="minorEastAsia" w:cstheme="minorEastAsia"/>
          <w:color w:val="auto"/>
          <w:kern w:val="0"/>
          <w:sz w:val="24"/>
          <w:szCs w:val="24"/>
          <w:highlight w:val="none"/>
          <w:u w:val="single"/>
        </w:rPr>
        <w:t xml:space="preserve"> </w:t>
      </w:r>
      <w:r>
        <w:rPr>
          <w:rFonts w:hint="eastAsia" w:asciiTheme="minorEastAsia" w:hAnsiTheme="minorEastAsia" w:eastAsiaTheme="minorEastAsia" w:cstheme="minorEastAsia"/>
          <w:color w:val="auto"/>
          <w:kern w:val="0"/>
          <w:sz w:val="24"/>
          <w:szCs w:val="24"/>
          <w:highlight w:val="none"/>
          <w:u w:val="single"/>
          <w:lang w:val="en-US" w:eastAsia="zh-CN"/>
        </w:rPr>
        <w:t>72</w:t>
      </w:r>
      <w:r>
        <w:rPr>
          <w:rFonts w:hint="eastAsia" w:asciiTheme="minorEastAsia" w:hAnsiTheme="minorEastAsia" w:eastAsiaTheme="minorEastAsia" w:cstheme="minorEastAsia"/>
          <w:color w:val="auto"/>
          <w:kern w:val="0"/>
          <w:sz w:val="24"/>
          <w:szCs w:val="24"/>
          <w:highlight w:val="none"/>
          <w:u w:val="single"/>
        </w:rPr>
        <w:t xml:space="preserve">  </w:t>
      </w:r>
      <w:r>
        <w:rPr>
          <w:rFonts w:hint="eastAsia" w:asciiTheme="minorEastAsia" w:hAnsiTheme="minorEastAsia" w:eastAsiaTheme="minorEastAsia" w:cstheme="minorEastAsia"/>
          <w:color w:val="auto"/>
          <w:kern w:val="0"/>
          <w:sz w:val="24"/>
          <w:szCs w:val="24"/>
          <w:highlight w:val="none"/>
        </w:rPr>
        <w:t>小时以上（一周内累计计算），工期相应顺延。</w:t>
      </w:r>
    </w:p>
    <w:p w14:paraId="5D479943">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Theme="minorEastAsia" w:hAnsiTheme="minorEastAsia" w:eastAsiaTheme="minorEastAsia" w:cstheme="minorEastAsia"/>
          <w:b/>
          <w:color w:val="auto"/>
          <w:kern w:val="0"/>
          <w:sz w:val="24"/>
          <w:szCs w:val="24"/>
          <w:highlight w:val="none"/>
        </w:rPr>
      </w:pPr>
      <w:r>
        <w:rPr>
          <w:rFonts w:hint="eastAsia" w:asciiTheme="minorEastAsia" w:hAnsiTheme="minorEastAsia" w:eastAsiaTheme="minorEastAsia" w:cstheme="minorEastAsia"/>
          <w:b/>
          <w:color w:val="auto"/>
          <w:kern w:val="0"/>
          <w:sz w:val="24"/>
          <w:szCs w:val="24"/>
          <w:highlight w:val="none"/>
        </w:rPr>
        <w:t>五、关于工程质量及验收的规定</w:t>
      </w:r>
    </w:p>
    <w:p w14:paraId="374D67F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b/>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1、本工程以施工图纸、做法说明、设计变更等国家制订的最新施工及验收规范为质量评定验收标准。</w:t>
      </w:r>
    </w:p>
    <w:p w14:paraId="0030C75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b/>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2、本工程质量应达到国家现行验收规范合格标准。</w:t>
      </w:r>
    </w:p>
    <w:p w14:paraId="2B02F67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b/>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3、甲、乙双方应及时办理隐蔽工程和中间工程的检查和验收手续。甲方不按时参加隐蔽工程和中间工程验收，乙方可以自行验收，甲方应予承认。若甲方要求复验时，乙方应按要求办理复验。若复验合格，甲方应承担复验费用，由此造成停工，工期顺延；若复验不合格，其复验及返工费用由乙方承担，工期也不顺延。</w:t>
      </w:r>
    </w:p>
    <w:p w14:paraId="37F082F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b/>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4、由于乙方原因造成质量事故，其返工费用由乙方承担，工期不顺延。</w:t>
      </w:r>
    </w:p>
    <w:p w14:paraId="254D631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b/>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5、工程竣工后，乙方应通知甲方验收，甲方自接到验收通知</w:t>
      </w:r>
      <w:r>
        <w:rPr>
          <w:rFonts w:hint="eastAsia" w:asciiTheme="minorEastAsia" w:hAnsiTheme="minorEastAsia" w:eastAsiaTheme="minorEastAsia" w:cstheme="minorEastAsia"/>
          <w:color w:val="auto"/>
          <w:kern w:val="0"/>
          <w:sz w:val="24"/>
          <w:szCs w:val="24"/>
          <w:highlight w:val="none"/>
          <w:u w:val="single"/>
        </w:rPr>
        <w:t xml:space="preserve">   </w:t>
      </w:r>
      <w:r>
        <w:rPr>
          <w:rFonts w:hint="eastAsia" w:asciiTheme="minorEastAsia" w:hAnsiTheme="minorEastAsia" w:eastAsiaTheme="minorEastAsia" w:cstheme="minorEastAsia"/>
          <w:color w:val="auto"/>
          <w:kern w:val="0"/>
          <w:sz w:val="24"/>
          <w:szCs w:val="24"/>
          <w:highlight w:val="none"/>
        </w:rPr>
        <w:t>日内组织验收，并办理验收、移交手续。如甲方在规定时间内未能组织验收，须及时通知乙方，另定验收日期。若另定日期验收合格甲方承认竣工日期；若验收不合格，其竣工日期为验收合格之日。看管费用和相关费用由乙方承担。</w:t>
      </w:r>
    </w:p>
    <w:p w14:paraId="3B2120C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b/>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6、工程验收合格后，甲、乙双方应尽快办理移交。不论什么原因，乙方无留滞权。同时，填写政府采购项目履约验收单（一式伍份）作为对项目的最终认可。政府采购项目履约验收单（原件）送采购代理机构一份，并据此退还履约保证金。</w:t>
      </w:r>
    </w:p>
    <w:p w14:paraId="7439E2E0">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Theme="minorEastAsia" w:hAnsiTheme="minorEastAsia" w:eastAsiaTheme="minorEastAsia" w:cstheme="minorEastAsia"/>
          <w:b/>
          <w:color w:val="auto"/>
          <w:kern w:val="0"/>
          <w:sz w:val="24"/>
          <w:szCs w:val="24"/>
          <w:highlight w:val="none"/>
        </w:rPr>
      </w:pPr>
      <w:r>
        <w:rPr>
          <w:rFonts w:hint="eastAsia" w:asciiTheme="minorEastAsia" w:hAnsiTheme="minorEastAsia" w:eastAsiaTheme="minorEastAsia" w:cstheme="minorEastAsia"/>
          <w:b/>
          <w:color w:val="auto"/>
          <w:kern w:val="0"/>
          <w:sz w:val="24"/>
          <w:szCs w:val="24"/>
          <w:highlight w:val="none"/>
        </w:rPr>
        <w:t>六、款项支付</w:t>
      </w:r>
    </w:p>
    <w:p w14:paraId="27E9767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1、工程预付款支付</w:t>
      </w:r>
    </w:p>
    <w:p w14:paraId="745107B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预付款支付比例或金额：合同价款除暂列金、养护、检测费用外总额的40%作为预付款。</w:t>
      </w:r>
    </w:p>
    <w:p w14:paraId="3BD9779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2、付款周期</w:t>
      </w:r>
    </w:p>
    <w:p w14:paraId="1B04DFA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（1）本合同签订且治理工程正式开工后，甲方向乙方支付约定的工程预付款；</w:t>
      </w:r>
    </w:p>
    <w:p w14:paraId="580BFB4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color w:val="auto"/>
          <w:kern w:val="0"/>
          <w:sz w:val="24"/>
          <w:szCs w:val="24"/>
          <w:highlight w:val="none"/>
          <w:lang w:val="en-US" w:eastAsia="zh-CN"/>
        </w:rPr>
      </w:pPr>
      <w:r>
        <w:rPr>
          <w:rFonts w:hint="eastAsia" w:asciiTheme="minorEastAsia" w:hAnsiTheme="minorEastAsia" w:eastAsiaTheme="minorEastAsia" w:cstheme="minorEastAsia"/>
          <w:color w:val="auto"/>
          <w:kern w:val="0"/>
          <w:sz w:val="24"/>
          <w:szCs w:val="24"/>
          <w:highlight w:val="none"/>
        </w:rPr>
        <w:t>（2）治理工程完工且初验合格后，甲方向乙方支付至建安工程结算价款总额的97%（扣除预付款）；剩余3%作为工程质量保证金，待工程质量缺陷质保期满后予以支付；绿化养护部分费用按三年逐年分别支付30%、30%、40%。</w:t>
      </w:r>
    </w:p>
    <w:p w14:paraId="0245065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lang w:val="en-US" w:eastAsia="zh-CN"/>
        </w:rPr>
        <w:t>2</w:t>
      </w:r>
      <w:r>
        <w:rPr>
          <w:rFonts w:hint="eastAsia" w:asciiTheme="minorEastAsia" w:hAnsiTheme="minorEastAsia" w:eastAsiaTheme="minorEastAsia" w:cstheme="minorEastAsia"/>
          <w:color w:val="auto"/>
          <w:kern w:val="0"/>
          <w:sz w:val="24"/>
          <w:szCs w:val="24"/>
          <w:highlight w:val="none"/>
        </w:rPr>
        <w:t>、支付方式：银行转账</w:t>
      </w:r>
    </w:p>
    <w:p w14:paraId="4188A2B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lang w:val="en-US" w:eastAsia="zh-CN"/>
        </w:rPr>
        <w:t>3</w:t>
      </w:r>
      <w:r>
        <w:rPr>
          <w:rFonts w:hint="eastAsia" w:asciiTheme="minorEastAsia" w:hAnsiTheme="minorEastAsia" w:eastAsiaTheme="minorEastAsia" w:cstheme="minorEastAsia"/>
          <w:color w:val="auto"/>
          <w:kern w:val="0"/>
          <w:sz w:val="24"/>
          <w:szCs w:val="24"/>
          <w:highlight w:val="none"/>
        </w:rPr>
        <w:t>、结算方式：</w:t>
      </w:r>
      <w:r>
        <w:rPr>
          <w:rFonts w:hint="eastAsia" w:asciiTheme="minorEastAsia" w:hAnsiTheme="minorEastAsia" w:eastAsiaTheme="minorEastAsia" w:cstheme="minorEastAsia"/>
          <w:sz w:val="24"/>
          <w:szCs w:val="24"/>
          <w:highlight w:val="none"/>
        </w:rPr>
        <w:t>采购人结算，在付款前必须开具等额发票给采购人。</w:t>
      </w:r>
    </w:p>
    <w:p w14:paraId="07FEEAF3">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Theme="minorEastAsia" w:hAnsiTheme="minorEastAsia" w:eastAsiaTheme="minorEastAsia" w:cstheme="minorEastAsia"/>
          <w:b/>
          <w:color w:val="auto"/>
          <w:kern w:val="0"/>
          <w:sz w:val="24"/>
          <w:szCs w:val="24"/>
          <w:highlight w:val="none"/>
        </w:rPr>
      </w:pPr>
      <w:r>
        <w:rPr>
          <w:rFonts w:hint="eastAsia" w:asciiTheme="minorEastAsia" w:hAnsiTheme="minorEastAsia" w:eastAsiaTheme="minorEastAsia" w:cstheme="minorEastAsia"/>
          <w:b/>
          <w:color w:val="auto"/>
          <w:kern w:val="0"/>
          <w:sz w:val="24"/>
          <w:szCs w:val="24"/>
          <w:highlight w:val="none"/>
        </w:rPr>
        <w:t>七、关于材料供应的约定</w:t>
      </w:r>
    </w:p>
    <w:p w14:paraId="219CD89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b/>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1、乙方采购的材料、设备，应符合设计要求和国家规范，严格按照磋商时所明确的品牌、规格、型号、产地组织采购。组织采购的材料如不符合质量要求或规格有差异，应禁止使用。若已使用，对工程造成的损失由乙方负责。施工中，需要复检的材料，应由国家授权的检测机构进行复检，其结果应加盖检测单位红章。</w:t>
      </w:r>
    </w:p>
    <w:p w14:paraId="7F5B07D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2、根据工程需要，经甲方代表批准，乙方可使用代用材料，其费用应予以调整。但甲方不得借此提高材料的质量和档次。（只要满足设计要求即可）</w:t>
      </w:r>
    </w:p>
    <w:p w14:paraId="72F388B7">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Theme="minorEastAsia" w:hAnsiTheme="minorEastAsia" w:eastAsiaTheme="minorEastAsia" w:cstheme="minorEastAsia"/>
          <w:b/>
          <w:color w:val="auto"/>
          <w:kern w:val="0"/>
          <w:sz w:val="24"/>
          <w:szCs w:val="24"/>
          <w:highlight w:val="none"/>
        </w:rPr>
      </w:pPr>
      <w:r>
        <w:rPr>
          <w:rFonts w:hint="eastAsia" w:asciiTheme="minorEastAsia" w:hAnsiTheme="minorEastAsia" w:eastAsiaTheme="minorEastAsia" w:cstheme="minorEastAsia"/>
          <w:b/>
          <w:color w:val="auto"/>
          <w:kern w:val="0"/>
          <w:sz w:val="24"/>
          <w:szCs w:val="24"/>
          <w:highlight w:val="none"/>
        </w:rPr>
        <w:t>3、凡乙方购进的施工材料，使用前必须经过甲方验收认可后方可使用，否则甲方拒绝施工验收。</w:t>
      </w:r>
    </w:p>
    <w:p w14:paraId="58E652B4">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Theme="minorEastAsia" w:hAnsiTheme="minorEastAsia" w:eastAsiaTheme="minorEastAsia" w:cstheme="minorEastAsia"/>
          <w:b/>
          <w:color w:val="auto"/>
          <w:kern w:val="0"/>
          <w:sz w:val="24"/>
          <w:szCs w:val="24"/>
          <w:highlight w:val="none"/>
        </w:rPr>
      </w:pPr>
      <w:r>
        <w:rPr>
          <w:rFonts w:hint="eastAsia" w:asciiTheme="minorEastAsia" w:hAnsiTheme="minorEastAsia" w:eastAsiaTheme="minorEastAsia" w:cstheme="minorEastAsia"/>
          <w:b/>
          <w:color w:val="auto"/>
          <w:kern w:val="0"/>
          <w:sz w:val="24"/>
          <w:szCs w:val="24"/>
          <w:highlight w:val="none"/>
        </w:rPr>
        <w:t>4、</w:t>
      </w:r>
      <w:r>
        <w:rPr>
          <w:rFonts w:hint="eastAsia" w:asciiTheme="minorEastAsia" w:hAnsiTheme="minorEastAsia" w:eastAsiaTheme="minorEastAsia" w:cstheme="minorEastAsia"/>
          <w:b/>
          <w:color w:val="auto"/>
          <w:sz w:val="24"/>
          <w:szCs w:val="24"/>
          <w:highlight w:val="none"/>
        </w:rPr>
        <w:t>双方协商的其他条款</w:t>
      </w:r>
    </w:p>
    <w:p w14:paraId="20104B6B">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Theme="minorEastAsia" w:hAnsiTheme="minorEastAsia" w:eastAsiaTheme="minorEastAsia" w:cstheme="minorEastAsia"/>
          <w:b/>
          <w:color w:val="auto"/>
          <w:kern w:val="0"/>
          <w:sz w:val="24"/>
          <w:szCs w:val="24"/>
          <w:highlight w:val="none"/>
        </w:rPr>
      </w:pPr>
      <w:r>
        <w:rPr>
          <w:rFonts w:hint="eastAsia" w:asciiTheme="minorEastAsia" w:hAnsiTheme="minorEastAsia" w:eastAsiaTheme="minorEastAsia" w:cstheme="minorEastAsia"/>
          <w:b/>
          <w:color w:val="auto"/>
          <w:kern w:val="0"/>
          <w:sz w:val="24"/>
          <w:szCs w:val="24"/>
          <w:highlight w:val="none"/>
        </w:rPr>
        <w:t>八、有关安全生产和防火的约定</w:t>
      </w:r>
    </w:p>
    <w:p w14:paraId="0B90410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b/>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1、甲方提供的施工图纸和做法说明，应符合《中华人民共和国消防条例》和有关防火设计规范。</w:t>
      </w:r>
    </w:p>
    <w:p w14:paraId="6585127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lang w:val="en-US" w:eastAsia="zh-CN"/>
        </w:rPr>
        <w:t>2</w:t>
      </w:r>
      <w:r>
        <w:rPr>
          <w:rFonts w:hint="eastAsia" w:asciiTheme="minorEastAsia" w:hAnsiTheme="minorEastAsia" w:eastAsiaTheme="minorEastAsia" w:cstheme="minorEastAsia"/>
          <w:color w:val="auto"/>
          <w:kern w:val="0"/>
          <w:sz w:val="24"/>
          <w:szCs w:val="24"/>
          <w:highlight w:val="none"/>
        </w:rPr>
        <w:t>、由于甲方图纸中做法说明，违反有关安全操作规程、消防法和防火设计规范，导致发生安全或火灾事故，</w:t>
      </w:r>
      <w:r>
        <w:rPr>
          <w:rFonts w:hint="eastAsia" w:asciiTheme="minorEastAsia" w:hAnsiTheme="minorEastAsia" w:eastAsiaTheme="minorEastAsia" w:cstheme="minorEastAsia"/>
          <w:color w:val="auto"/>
          <w:kern w:val="0"/>
          <w:sz w:val="24"/>
          <w:szCs w:val="24"/>
          <w:highlight w:val="none"/>
        </w:rPr>
        <w:t>甲方和设计院应</w:t>
      </w:r>
      <w:r>
        <w:rPr>
          <w:rFonts w:hint="eastAsia" w:asciiTheme="minorEastAsia" w:hAnsiTheme="minorEastAsia" w:eastAsiaTheme="minorEastAsia" w:cstheme="minorEastAsia"/>
          <w:color w:val="auto"/>
          <w:kern w:val="0"/>
          <w:sz w:val="24"/>
          <w:szCs w:val="24"/>
          <w:highlight w:val="none"/>
        </w:rPr>
        <w:t>承担由此产生的一切责任与损失。</w:t>
      </w:r>
    </w:p>
    <w:p w14:paraId="399DAEE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lang w:val="en-US" w:eastAsia="zh-CN"/>
        </w:rPr>
        <w:t>3</w:t>
      </w:r>
      <w:r>
        <w:rPr>
          <w:rFonts w:hint="eastAsia" w:asciiTheme="minorEastAsia" w:hAnsiTheme="minorEastAsia" w:eastAsiaTheme="minorEastAsia" w:cstheme="minorEastAsia"/>
          <w:color w:val="auto"/>
          <w:kern w:val="0"/>
          <w:sz w:val="24"/>
          <w:szCs w:val="24"/>
          <w:highlight w:val="none"/>
        </w:rPr>
        <w:t>、由于乙方在施工生产过程中违反有关安全、消防等规定，导致发生安全或火灾事故，乙方应承担由此产生的一切责任与损失。</w:t>
      </w:r>
    </w:p>
    <w:p w14:paraId="7F413131">
      <w:pPr>
        <w:keepNext w:val="0"/>
        <w:keepLines w:val="0"/>
        <w:pageBreakBefore w:val="0"/>
        <w:widowControl w:val="0"/>
        <w:kinsoku/>
        <w:wordWrap/>
        <w:overflowPunct/>
        <w:topLinePunct w:val="0"/>
        <w:autoSpaceDE/>
        <w:autoSpaceDN/>
        <w:bidi w:val="0"/>
        <w:adjustRightInd/>
        <w:snapToGrid/>
        <w:spacing w:line="360" w:lineRule="auto"/>
        <w:ind w:left="2" w:leftChars="1" w:firstLine="504" w:firstLineChars="209"/>
        <w:textAlignment w:val="auto"/>
        <w:rPr>
          <w:rFonts w:hint="eastAsia" w:asciiTheme="minorEastAsia" w:hAnsiTheme="minorEastAsia" w:eastAsiaTheme="minorEastAsia" w:cstheme="minorEastAsia"/>
          <w:b/>
          <w:color w:val="auto"/>
          <w:sz w:val="24"/>
          <w:szCs w:val="24"/>
          <w:highlight w:val="none"/>
        </w:rPr>
      </w:pPr>
      <w:r>
        <w:rPr>
          <w:rFonts w:hint="eastAsia" w:asciiTheme="minorEastAsia" w:hAnsiTheme="minorEastAsia" w:eastAsiaTheme="minorEastAsia" w:cstheme="minorEastAsia"/>
          <w:b/>
          <w:color w:val="auto"/>
          <w:kern w:val="0"/>
          <w:sz w:val="24"/>
          <w:szCs w:val="24"/>
          <w:highlight w:val="none"/>
        </w:rPr>
        <w:t>5、</w:t>
      </w:r>
      <w:r>
        <w:rPr>
          <w:rFonts w:hint="eastAsia" w:asciiTheme="minorEastAsia" w:hAnsiTheme="minorEastAsia" w:eastAsiaTheme="minorEastAsia" w:cstheme="minorEastAsia"/>
          <w:b/>
          <w:color w:val="auto"/>
          <w:sz w:val="24"/>
          <w:szCs w:val="24"/>
          <w:highlight w:val="none"/>
        </w:rPr>
        <w:t>双方协商的其他条款</w:t>
      </w:r>
    </w:p>
    <w:p w14:paraId="21CD1DDA">
      <w:pPr>
        <w:keepNext w:val="0"/>
        <w:keepLines w:val="0"/>
        <w:pageBreakBefore w:val="0"/>
        <w:widowControl w:val="0"/>
        <w:kinsoku/>
        <w:wordWrap/>
        <w:overflowPunct/>
        <w:topLinePunct w:val="0"/>
        <w:autoSpaceDE/>
        <w:autoSpaceDN/>
        <w:bidi w:val="0"/>
        <w:adjustRightInd/>
        <w:snapToGrid/>
        <w:spacing w:line="360" w:lineRule="auto"/>
        <w:ind w:left="2" w:leftChars="1" w:firstLine="504" w:firstLineChars="209"/>
        <w:textAlignment w:val="auto"/>
        <w:rPr>
          <w:rFonts w:hint="eastAsia" w:asciiTheme="minorEastAsia" w:hAnsiTheme="minorEastAsia" w:eastAsiaTheme="minorEastAsia" w:cstheme="minorEastAsia"/>
          <w:b/>
          <w:color w:val="auto"/>
          <w:kern w:val="0"/>
          <w:sz w:val="24"/>
          <w:szCs w:val="24"/>
          <w:highlight w:val="none"/>
        </w:rPr>
      </w:pPr>
      <w:r>
        <w:rPr>
          <w:rFonts w:hint="eastAsia" w:asciiTheme="minorEastAsia" w:hAnsiTheme="minorEastAsia" w:eastAsiaTheme="minorEastAsia" w:cstheme="minorEastAsia"/>
          <w:b/>
          <w:color w:val="auto"/>
          <w:kern w:val="0"/>
          <w:sz w:val="24"/>
          <w:szCs w:val="24"/>
          <w:highlight w:val="none"/>
        </w:rPr>
        <w:t>九、安全文明施工</w:t>
      </w:r>
    </w:p>
    <w:p w14:paraId="6C58410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1、乙方委派专人负责组织完成施工合同的全部内容，完成工程承包过程中与甲方接洽的一切事项，对所承包施工任务的质量、安全生产、文明施工、工程进度等管理工作进行检查和监督，并负全责。</w:t>
      </w:r>
    </w:p>
    <w:p w14:paraId="7752F37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2、乙方不得将工程再分包，否则甲方可终止合同，且再分包部分出现的任何责任及费用甲方均不予承认，均由乙方承担。</w:t>
      </w:r>
    </w:p>
    <w:p w14:paraId="42F313B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3、乙方在进场前签订安全责任书，指定安全管理人员监督施工现场，坚决做好安全、消防、安全保卫工作，确保施工安全，保证安全生产，杜绝一切安全事故，若因违反国家法律法规导致的安全生产事故，乙方承担所有法律、经济责任并负责赔偿所有损失。</w:t>
      </w:r>
    </w:p>
    <w:p w14:paraId="5C14F17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4、乙方保证施工人员必须经过专业技能培训，使用专业设备技术人员必须具备上岗证。</w:t>
      </w:r>
    </w:p>
    <w:p w14:paraId="1DF7E7B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5、严格执行施工规范、安全操作规程、防火安全规定、环境保护规定。严格按照施工方案进行施工，做好各项质量检查记录。参加工程验收，编制工程结算。</w:t>
      </w:r>
    </w:p>
    <w:p w14:paraId="1A10849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6、乙方负责对施工人员在施工前作安全教育，在施工中遵守安全操作规程。施工人员进入现场须戴好 安全帽，高空作业应穿防滑鞋、系好安全带，配带齐有效安全防护用品。现场设路专职监护人员看管，禁止收废品等非施工人员进入现场，杜绝意外事故发生。</w:t>
      </w:r>
    </w:p>
    <w:p w14:paraId="7AE4B19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7、施工前乙方应认真检查施工现场是否真正断电、断水，并与甲方办理交接手续，杜绝安全隐患的存在，如因乙方检查疏漏造成事故，所有损失责任均由乙方承担。</w:t>
      </w:r>
    </w:p>
    <w:p w14:paraId="12F7EB0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8、乙方在施工前应做好拆除施工方案，并报甲方审批，经甲方批准后方可施工。方案中要写明管理人员安排，施工人员安排，机械设备安排，施工顺序安排等。</w:t>
      </w:r>
    </w:p>
    <w:p w14:paraId="234A3DA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9、渣土清运工作，乙方要设路专人指挥交通，防止发生交通事故或造成交通堵塞。驶出现场车辆，要保特清洁，封益严密，防止洒落造成污染，按环保要求认真执行。如因乙方施工未按照以上要求执行，受到城管、环保等部门处罚均由乙方承担，且若因此给甲方造成的影响乙方要承担相应责任。</w:t>
      </w:r>
    </w:p>
    <w:p w14:paraId="12568DC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10、乙方对隐蔽工程都要进行过程检验和最终检验，并且要结合施工、验收等重大程序分阶段做好质量记录。施工完毕但未通过验收之前，乙方应对整个工程负责。验收合格后，乙方必须主动向甲方供有关工程记录、隐蔽工程记录等文件资料，切实履行交接手续并主动做好工程的后期维护保养工作。</w:t>
      </w:r>
    </w:p>
    <w:p w14:paraId="4E2F42E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11、施工过程中，乙方所有工作必须符合和满足国家各项相关法律法规规定及要求，若因违反任何法律法规受到相关部门的处罚，均由乙方承担，且若因此给甲方造成的损失乙方也要承担负责。若造成工期延误，乙方不得收取任何费用，应积极接受处罚。</w:t>
      </w:r>
    </w:p>
    <w:p w14:paraId="6361DB4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12、乙方用工要办理齐全手续，做到合法用工。乙方自行解決人员食宿、办公等用房，包括炊具燃料等。乙方应自行对本单位施工人员加强纪律教育，在施工现场与其它单位人员发生接触要互相礼让，避免出现打架斗殴、群斗群伤事件的发生。因上达事件产生的一切经济损失和法律责任由事件责任双方共同承担，甲方保留单方解除合同的权利。</w:t>
      </w:r>
    </w:p>
    <w:p w14:paraId="0299BCD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13、积极配合甲方完成工程审计，提供审计需要的相关资料。</w:t>
      </w:r>
    </w:p>
    <w:p w14:paraId="65ECE8BD">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Theme="minorEastAsia" w:hAnsiTheme="minorEastAsia" w:eastAsiaTheme="minorEastAsia" w:cstheme="minorEastAsia"/>
          <w:b/>
          <w:color w:val="auto"/>
          <w:kern w:val="0"/>
          <w:sz w:val="24"/>
          <w:szCs w:val="24"/>
          <w:highlight w:val="none"/>
        </w:rPr>
      </w:pPr>
      <w:r>
        <w:rPr>
          <w:rFonts w:hint="eastAsia" w:asciiTheme="minorEastAsia" w:hAnsiTheme="minorEastAsia" w:eastAsiaTheme="minorEastAsia" w:cstheme="minorEastAsia"/>
          <w:b/>
          <w:color w:val="auto"/>
          <w:kern w:val="0"/>
          <w:sz w:val="24"/>
          <w:szCs w:val="24"/>
          <w:highlight w:val="none"/>
        </w:rPr>
        <w:t>十、违约责任</w:t>
      </w:r>
    </w:p>
    <w:p w14:paraId="3FD769A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1、乙方应妥善保护甲方提供的设备和工程成品，如造成损失，应照价赔偿。</w:t>
      </w:r>
    </w:p>
    <w:p w14:paraId="0EF9EDB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2、甲方未办理任何手续，擅自同意拆改原有建筑物结构或设备管线，由此发生的损失或事故（包括罚款），由甲方负责并承担损失。</w:t>
      </w:r>
    </w:p>
    <w:p w14:paraId="2747EC3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3、未经甲方同意，乙方擅自同意拆改原有建筑物结构或设备管线，由此发生的损失或事故（包括罚款），由乙方负责并承担损失。</w:t>
      </w:r>
    </w:p>
    <w:p w14:paraId="3462A61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4、未办理验收手续，甲方提前使用或擅自动用，造成损失由甲方负责（但质量原因除外）。</w:t>
      </w:r>
    </w:p>
    <w:p w14:paraId="707D4C4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lang w:val="en-US" w:eastAsia="zh-CN"/>
        </w:rPr>
        <w:t>5</w:t>
      </w:r>
      <w:r>
        <w:rPr>
          <w:rFonts w:hint="eastAsia" w:asciiTheme="minorEastAsia" w:hAnsiTheme="minorEastAsia" w:eastAsiaTheme="minorEastAsia" w:cstheme="minorEastAsia"/>
          <w:color w:val="auto"/>
          <w:kern w:val="0"/>
          <w:sz w:val="24"/>
          <w:szCs w:val="24"/>
          <w:highlight w:val="none"/>
        </w:rPr>
        <w:t>、因一方原因，合同无法继续履行时，应及时通知对方，双方协商一致可办理合同终止协议，并由责任方赔偿对方由此造成的经济损失。</w:t>
      </w:r>
    </w:p>
    <w:p w14:paraId="47180E8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lang w:val="en-US" w:eastAsia="zh-CN"/>
        </w:rPr>
        <w:t>6</w:t>
      </w:r>
      <w:r>
        <w:rPr>
          <w:rFonts w:hint="eastAsia" w:asciiTheme="minorEastAsia" w:hAnsiTheme="minorEastAsia" w:eastAsiaTheme="minorEastAsia" w:cstheme="minorEastAsia"/>
          <w:color w:val="auto"/>
          <w:kern w:val="0"/>
          <w:sz w:val="24"/>
          <w:szCs w:val="24"/>
          <w:highlight w:val="none"/>
        </w:rPr>
        <w:t>、本合同中各条款约定的违约金可自甲方未支付款项中直接扣除，违约金若不能弥补甲方损失的，乙方还应赔偿甲方损失。</w:t>
      </w:r>
    </w:p>
    <w:p w14:paraId="6E47D8C8">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Theme="minorEastAsia" w:hAnsiTheme="minorEastAsia" w:eastAsiaTheme="minorEastAsia" w:cstheme="minorEastAsia"/>
          <w:b/>
          <w:color w:val="auto"/>
          <w:kern w:val="0"/>
          <w:sz w:val="24"/>
          <w:szCs w:val="24"/>
          <w:highlight w:val="none"/>
        </w:rPr>
      </w:pPr>
      <w:r>
        <w:rPr>
          <w:rFonts w:hint="eastAsia" w:asciiTheme="minorEastAsia" w:hAnsiTheme="minorEastAsia" w:eastAsiaTheme="minorEastAsia" w:cstheme="minorEastAsia"/>
          <w:b/>
          <w:color w:val="auto"/>
          <w:kern w:val="0"/>
          <w:sz w:val="24"/>
          <w:szCs w:val="24"/>
          <w:highlight w:val="none"/>
          <w:lang w:val="en-US" w:eastAsia="zh-CN"/>
        </w:rPr>
        <w:t>7</w:t>
      </w:r>
      <w:r>
        <w:rPr>
          <w:rFonts w:hint="eastAsia" w:asciiTheme="minorEastAsia" w:hAnsiTheme="minorEastAsia" w:eastAsiaTheme="minorEastAsia" w:cstheme="minorEastAsia"/>
          <w:b/>
          <w:color w:val="auto"/>
          <w:kern w:val="0"/>
          <w:sz w:val="24"/>
          <w:szCs w:val="24"/>
          <w:highlight w:val="none"/>
        </w:rPr>
        <w:t>、（双方协商的其他条款）</w:t>
      </w:r>
    </w:p>
    <w:p w14:paraId="616356CE">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Theme="minorEastAsia" w:hAnsiTheme="minorEastAsia" w:eastAsiaTheme="minorEastAsia" w:cstheme="minorEastAsia"/>
          <w:b/>
          <w:color w:val="auto"/>
          <w:kern w:val="0"/>
          <w:sz w:val="24"/>
          <w:szCs w:val="24"/>
          <w:highlight w:val="none"/>
        </w:rPr>
      </w:pPr>
      <w:r>
        <w:rPr>
          <w:rFonts w:hint="eastAsia" w:asciiTheme="minorEastAsia" w:hAnsiTheme="minorEastAsia" w:eastAsiaTheme="minorEastAsia" w:cstheme="minorEastAsia"/>
          <w:b/>
          <w:color w:val="auto"/>
          <w:kern w:val="0"/>
          <w:sz w:val="24"/>
          <w:szCs w:val="24"/>
          <w:highlight w:val="none"/>
        </w:rPr>
        <w:t>十一、按《民法典》、《建设工程质量管理条例》等有关规定要求，补充以下内容：</w:t>
      </w:r>
    </w:p>
    <w:p w14:paraId="08067F5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（一）乙方未经甲方及有关部门书面同意，不得擅自变更本工程在响应承诺中认定的工程范围、施工组织方案及项目经理(响应文件中应明确项目经理的姓名及联系方法，以备检查）</w:t>
      </w:r>
    </w:p>
    <w:p w14:paraId="51D2789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（二）乙方必须自行施工，不得转包、分包。为了确保工程质量，乙方应组织一支强有力的技术骨干队伍，建立严格的质量管理体系，规范操作。</w:t>
      </w:r>
    </w:p>
    <w:p w14:paraId="38BF404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（三）乙方在响应文件和响应中的承诺以及补充意见等内容，将作为成交条件列入合同。</w:t>
      </w:r>
    </w:p>
    <w:p w14:paraId="0DF5153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（四）乙方如确因工程实际情况发生变化或其他因素（不可抗拒）造成需对方案进行修改、完善、补充时，需会同甲方商定。因此发生的费用，由双方协商解决。</w:t>
      </w:r>
    </w:p>
    <w:p w14:paraId="3F0AA08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（五）乙方按照相关规定办理投保事宜。工程施工期间及质保期内，出现的所有安全事故，由乙方承担全部责任，</w:t>
      </w:r>
    </w:p>
    <w:p w14:paraId="70454F2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（六）本项目开工后，乙方保证按月结算工人工资，施工期间不以任何名义和方式克扣工人工资，如收到此类投诉，甲方将配合劳动监察部门进行处理，有权暂停支付工程款。</w:t>
      </w:r>
    </w:p>
    <w:p w14:paraId="3581CBD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w:t>
      </w:r>
      <w:r>
        <w:rPr>
          <w:rFonts w:hint="eastAsia" w:asciiTheme="minorEastAsia" w:hAnsiTheme="minorEastAsia" w:eastAsiaTheme="minorEastAsia" w:cstheme="minorEastAsia"/>
          <w:color w:val="auto"/>
          <w:kern w:val="0"/>
          <w:sz w:val="24"/>
          <w:szCs w:val="24"/>
          <w:highlight w:val="none"/>
          <w:lang w:val="en-US" w:eastAsia="zh-CN"/>
        </w:rPr>
        <w:t>七</w:t>
      </w:r>
      <w:r>
        <w:rPr>
          <w:rFonts w:hint="eastAsia" w:asciiTheme="minorEastAsia" w:hAnsiTheme="minorEastAsia" w:eastAsiaTheme="minorEastAsia" w:cstheme="minorEastAsia"/>
          <w:color w:val="auto"/>
          <w:kern w:val="0"/>
          <w:sz w:val="24"/>
          <w:szCs w:val="24"/>
          <w:highlight w:val="none"/>
        </w:rPr>
        <w:t>）乙方应做到完工、料净、场地清。将施工现场周围和生活区周围清理干净，否则甲方不予支付工程款</w:t>
      </w:r>
      <w:r>
        <w:rPr>
          <w:rFonts w:hint="eastAsia" w:asciiTheme="minorEastAsia" w:hAnsiTheme="minorEastAsia" w:eastAsiaTheme="minorEastAsia" w:cstheme="minorEastAsia"/>
          <w:color w:val="auto"/>
          <w:kern w:val="0"/>
          <w:sz w:val="24"/>
          <w:szCs w:val="24"/>
          <w:highlight w:val="none"/>
        </w:rPr>
        <w:t>。</w:t>
      </w:r>
    </w:p>
    <w:p w14:paraId="0FF06F7A">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b/>
          <w:color w:val="auto"/>
          <w:kern w:val="0"/>
          <w:sz w:val="24"/>
          <w:szCs w:val="24"/>
          <w:highlight w:val="none"/>
        </w:rPr>
        <w:t>十二、争议或纠纷处理</w:t>
      </w:r>
    </w:p>
    <w:p w14:paraId="3F4B2D9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1、在不影响工程进度的前提下，双方协商解决或请有关部门进行调解。</w:t>
      </w:r>
    </w:p>
    <w:p w14:paraId="447B36A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2、协商、调解不成时按下列 第</w:t>
      </w:r>
      <w:r>
        <w:rPr>
          <w:rFonts w:hint="eastAsia" w:asciiTheme="minorEastAsia" w:hAnsiTheme="minorEastAsia" w:eastAsiaTheme="minorEastAsia" w:cstheme="minorEastAsia"/>
          <w:color w:val="auto"/>
          <w:kern w:val="0"/>
          <w:sz w:val="24"/>
          <w:szCs w:val="24"/>
          <w:highlight w:val="none"/>
          <w:u w:val="single"/>
        </w:rPr>
        <w:t xml:space="preserve">   （二）  </w:t>
      </w:r>
      <w:r>
        <w:rPr>
          <w:rFonts w:hint="eastAsia" w:asciiTheme="minorEastAsia" w:hAnsiTheme="minorEastAsia" w:eastAsiaTheme="minorEastAsia" w:cstheme="minorEastAsia"/>
          <w:color w:val="auto"/>
          <w:kern w:val="0"/>
          <w:sz w:val="24"/>
          <w:szCs w:val="24"/>
          <w:highlight w:val="none"/>
        </w:rPr>
        <w:t>种方式解决：</w:t>
      </w:r>
    </w:p>
    <w:p w14:paraId="735601BC">
      <w:pPr>
        <w:keepNext w:val="0"/>
        <w:keepLines w:val="0"/>
        <w:pageBreakBefore w:val="0"/>
        <w:widowControl w:val="0"/>
        <w:kinsoku/>
        <w:wordWrap/>
        <w:overflowPunct/>
        <w:topLinePunct w:val="0"/>
        <w:autoSpaceDE/>
        <w:autoSpaceDN/>
        <w:bidi w:val="0"/>
        <w:adjustRightInd/>
        <w:snapToGrid/>
        <w:spacing w:line="360" w:lineRule="auto"/>
        <w:ind w:left="300"/>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（一）提交西安仲裁委员会仲裁；</w:t>
      </w:r>
    </w:p>
    <w:p w14:paraId="67C0F552">
      <w:pPr>
        <w:keepNext w:val="0"/>
        <w:keepLines w:val="0"/>
        <w:pageBreakBefore w:val="0"/>
        <w:widowControl w:val="0"/>
        <w:kinsoku/>
        <w:wordWrap/>
        <w:overflowPunct/>
        <w:topLinePunct w:val="0"/>
        <w:autoSpaceDE/>
        <w:autoSpaceDN/>
        <w:bidi w:val="0"/>
        <w:adjustRightInd/>
        <w:snapToGrid/>
        <w:spacing w:line="360" w:lineRule="auto"/>
        <w:ind w:left="300"/>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（二）依法向有管辖权的人民法院起诉。</w:t>
      </w:r>
    </w:p>
    <w:p w14:paraId="7C9E3190">
      <w:pPr>
        <w:keepNext w:val="0"/>
        <w:keepLines w:val="0"/>
        <w:pageBreakBefore w:val="0"/>
        <w:widowControl w:val="0"/>
        <w:kinsoku/>
        <w:wordWrap/>
        <w:overflowPunct/>
        <w:topLinePunct w:val="0"/>
        <w:autoSpaceDE/>
        <w:autoSpaceDN/>
        <w:bidi w:val="0"/>
        <w:adjustRightInd/>
        <w:snapToGrid/>
        <w:spacing w:line="360" w:lineRule="auto"/>
        <w:ind w:left="300"/>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b/>
          <w:color w:val="auto"/>
          <w:kern w:val="0"/>
          <w:sz w:val="24"/>
          <w:szCs w:val="24"/>
          <w:highlight w:val="none"/>
        </w:rPr>
        <w:t>十三、质保与保修</w:t>
      </w:r>
    </w:p>
    <w:p w14:paraId="516D151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1、质保期为</w:t>
      </w:r>
      <w:r>
        <w:rPr>
          <w:rFonts w:hint="eastAsia" w:asciiTheme="minorEastAsia" w:hAnsiTheme="minorEastAsia" w:eastAsiaTheme="minorEastAsia" w:cstheme="minorEastAsia"/>
          <w:color w:val="auto"/>
          <w:kern w:val="0"/>
          <w:sz w:val="24"/>
          <w:szCs w:val="24"/>
          <w:highlight w:val="none"/>
          <w:u w:val="single"/>
        </w:rPr>
        <w:t xml:space="preserve">  </w:t>
      </w:r>
      <w:r>
        <w:rPr>
          <w:rFonts w:hint="eastAsia" w:asciiTheme="minorEastAsia" w:hAnsiTheme="minorEastAsia" w:eastAsiaTheme="minorEastAsia" w:cstheme="minorEastAsia"/>
          <w:color w:val="auto"/>
          <w:kern w:val="0"/>
          <w:sz w:val="24"/>
          <w:szCs w:val="24"/>
          <w:highlight w:val="none"/>
          <w:u w:val="single"/>
          <w:lang w:val="en-US" w:eastAsia="zh-CN"/>
        </w:rPr>
        <w:t>2</w:t>
      </w:r>
      <w:r>
        <w:rPr>
          <w:rFonts w:hint="eastAsia" w:asciiTheme="minorEastAsia" w:hAnsiTheme="minorEastAsia" w:eastAsiaTheme="minorEastAsia" w:cstheme="minorEastAsia"/>
          <w:color w:val="auto"/>
          <w:kern w:val="0"/>
          <w:sz w:val="24"/>
          <w:szCs w:val="24"/>
          <w:highlight w:val="none"/>
          <w:u w:val="single"/>
        </w:rPr>
        <w:t xml:space="preserve">   </w:t>
      </w:r>
      <w:r>
        <w:rPr>
          <w:rFonts w:hint="eastAsia" w:asciiTheme="minorEastAsia" w:hAnsiTheme="minorEastAsia" w:eastAsiaTheme="minorEastAsia" w:cstheme="minorEastAsia"/>
          <w:color w:val="auto"/>
          <w:kern w:val="0"/>
          <w:sz w:val="24"/>
          <w:szCs w:val="24"/>
          <w:highlight w:val="none"/>
        </w:rPr>
        <w:t>年，若该质保期短于国家相关规定，则按照有关国家建设施工要求及规定确定。质保期从甲方代表再最终验收合格记录上签字之日计算。</w:t>
      </w:r>
    </w:p>
    <w:p w14:paraId="2EA77B6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2、质保期内，乙方应在接到修理通知之日，水、电暖在24小时内，其他在  日内派人修理，否则甲方可委托其他单位或人员修理。因乙方原因造成的返修费用，甲方在质保金内扣除，不足部分乙方支付，非乙方原因造成的经济支出，由甲方承担。</w:t>
      </w:r>
    </w:p>
    <w:p w14:paraId="3BE8C206">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Theme="minorEastAsia" w:hAnsiTheme="minorEastAsia" w:eastAsiaTheme="minorEastAsia" w:cstheme="minorEastAsia"/>
          <w:b/>
          <w:color w:val="auto"/>
          <w:kern w:val="0"/>
          <w:sz w:val="24"/>
          <w:szCs w:val="24"/>
          <w:highlight w:val="none"/>
        </w:rPr>
      </w:pPr>
      <w:r>
        <w:rPr>
          <w:rFonts w:hint="eastAsia" w:asciiTheme="minorEastAsia" w:hAnsiTheme="minorEastAsia" w:eastAsiaTheme="minorEastAsia" w:cstheme="minorEastAsia"/>
          <w:b/>
          <w:color w:val="auto"/>
          <w:kern w:val="0"/>
          <w:sz w:val="24"/>
          <w:szCs w:val="24"/>
          <w:highlight w:val="none"/>
        </w:rPr>
        <w:t>3、</w:t>
      </w:r>
      <w:r>
        <w:rPr>
          <w:rFonts w:hint="eastAsia" w:asciiTheme="minorEastAsia" w:hAnsiTheme="minorEastAsia" w:eastAsiaTheme="minorEastAsia" w:cstheme="minorEastAsia"/>
          <w:b/>
          <w:color w:val="auto"/>
          <w:kern w:val="0"/>
          <w:sz w:val="24"/>
          <w:szCs w:val="24"/>
          <w:highlight w:val="none"/>
        </w:rPr>
        <w:t>质保期按照有关国家建设施工要求及规定，</w:t>
      </w:r>
      <w:r>
        <w:rPr>
          <w:rFonts w:hint="eastAsia" w:asciiTheme="minorEastAsia" w:hAnsiTheme="minorEastAsia" w:eastAsiaTheme="minorEastAsia" w:cstheme="minorEastAsia"/>
          <w:b/>
          <w:color w:val="auto"/>
          <w:kern w:val="0"/>
          <w:sz w:val="24"/>
          <w:szCs w:val="24"/>
          <w:highlight w:val="none"/>
          <w:lang w:val="en-US" w:eastAsia="zh-CN"/>
        </w:rPr>
        <w:t>养护期</w:t>
      </w:r>
      <w:r>
        <w:rPr>
          <w:rFonts w:hint="eastAsia" w:asciiTheme="minorEastAsia" w:hAnsiTheme="minorEastAsia" w:eastAsiaTheme="minorEastAsia" w:cstheme="minorEastAsia"/>
          <w:b/>
          <w:color w:val="auto"/>
          <w:kern w:val="0"/>
          <w:sz w:val="24"/>
          <w:szCs w:val="24"/>
          <w:highlight w:val="none"/>
        </w:rPr>
        <w:t>为</w:t>
      </w:r>
      <w:r>
        <w:rPr>
          <w:rFonts w:hint="eastAsia" w:asciiTheme="minorEastAsia" w:hAnsiTheme="minorEastAsia" w:eastAsiaTheme="minorEastAsia" w:cstheme="minorEastAsia"/>
          <w:b/>
          <w:color w:val="auto"/>
          <w:kern w:val="0"/>
          <w:sz w:val="24"/>
          <w:szCs w:val="24"/>
          <w:highlight w:val="none"/>
          <w:lang w:val="en-US" w:eastAsia="zh-CN"/>
        </w:rPr>
        <w:t>3</w:t>
      </w:r>
      <w:r>
        <w:rPr>
          <w:rFonts w:hint="eastAsia" w:asciiTheme="minorEastAsia" w:hAnsiTheme="minorEastAsia" w:eastAsiaTheme="minorEastAsia" w:cstheme="minorEastAsia"/>
          <w:b/>
          <w:color w:val="auto"/>
          <w:kern w:val="0"/>
          <w:sz w:val="24"/>
          <w:szCs w:val="24"/>
          <w:highlight w:val="none"/>
        </w:rPr>
        <w:t>年。</w:t>
      </w:r>
    </w:p>
    <w:p w14:paraId="4D6FC508">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Theme="minorEastAsia" w:hAnsiTheme="minorEastAsia" w:eastAsiaTheme="minorEastAsia" w:cstheme="minorEastAsia"/>
          <w:b/>
          <w:color w:val="auto"/>
          <w:kern w:val="0"/>
          <w:sz w:val="24"/>
          <w:szCs w:val="24"/>
          <w:highlight w:val="none"/>
        </w:rPr>
      </w:pPr>
      <w:r>
        <w:rPr>
          <w:rFonts w:hint="eastAsia" w:asciiTheme="minorEastAsia" w:hAnsiTheme="minorEastAsia" w:eastAsiaTheme="minorEastAsia" w:cstheme="minorEastAsia"/>
          <w:b/>
          <w:color w:val="auto"/>
          <w:kern w:val="0"/>
          <w:sz w:val="24"/>
          <w:szCs w:val="24"/>
          <w:highlight w:val="none"/>
        </w:rPr>
        <w:t>4、双方协商的其他条款。</w:t>
      </w:r>
    </w:p>
    <w:p w14:paraId="4F4C689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b/>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 xml:space="preserve"> </w:t>
      </w:r>
      <w:r>
        <w:rPr>
          <w:rFonts w:hint="eastAsia" w:asciiTheme="minorEastAsia" w:hAnsiTheme="minorEastAsia" w:eastAsiaTheme="minorEastAsia" w:cstheme="minorEastAsia"/>
          <w:b/>
          <w:color w:val="auto"/>
          <w:kern w:val="0"/>
          <w:sz w:val="24"/>
          <w:szCs w:val="24"/>
          <w:highlight w:val="none"/>
        </w:rPr>
        <w:t>十四附则</w:t>
      </w:r>
    </w:p>
    <w:p w14:paraId="46A6909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1、本工程需要进行保险时，应另定协议。</w:t>
      </w:r>
    </w:p>
    <w:p w14:paraId="00BB1CB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2、竞争性磋商文件、响应文件以及澄清函均作为合同的附件，是合同不可分割的组成部分。与合同具有同等法律效力。</w:t>
      </w:r>
    </w:p>
    <w:p w14:paraId="0FACCD9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3、本工程乙方应严格按照设计图纸的要求施工。</w:t>
      </w:r>
    </w:p>
    <w:p w14:paraId="3ECF6F5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kern w:val="0"/>
          <w:sz w:val="24"/>
          <w:szCs w:val="24"/>
          <w:highlight w:val="none"/>
        </w:rPr>
        <w:t>4、本合同一式</w:t>
      </w:r>
      <w:r>
        <w:rPr>
          <w:rFonts w:hint="eastAsia" w:asciiTheme="minorEastAsia" w:hAnsiTheme="minorEastAsia" w:eastAsiaTheme="minorEastAsia" w:cstheme="minorEastAsia"/>
          <w:color w:val="auto"/>
          <w:kern w:val="0"/>
          <w:sz w:val="24"/>
          <w:szCs w:val="24"/>
          <w:highlight w:val="none"/>
          <w:u w:val="single"/>
        </w:rPr>
        <w:t xml:space="preserve">   </w:t>
      </w:r>
      <w:r>
        <w:rPr>
          <w:rFonts w:hint="eastAsia" w:asciiTheme="minorEastAsia" w:hAnsiTheme="minorEastAsia" w:eastAsiaTheme="minorEastAsia" w:cstheme="minorEastAsia"/>
          <w:color w:val="auto"/>
          <w:kern w:val="0"/>
          <w:sz w:val="24"/>
          <w:szCs w:val="24"/>
          <w:highlight w:val="none"/>
        </w:rPr>
        <w:t>份，甲方持</w:t>
      </w:r>
      <w:r>
        <w:rPr>
          <w:rFonts w:hint="eastAsia" w:asciiTheme="minorEastAsia" w:hAnsiTheme="minorEastAsia" w:eastAsiaTheme="minorEastAsia" w:cstheme="minorEastAsia"/>
          <w:color w:val="auto"/>
          <w:kern w:val="0"/>
          <w:sz w:val="24"/>
          <w:szCs w:val="24"/>
          <w:highlight w:val="none"/>
          <w:u w:val="single"/>
        </w:rPr>
        <w:t xml:space="preserve">   </w:t>
      </w:r>
      <w:r>
        <w:rPr>
          <w:rFonts w:hint="eastAsia" w:asciiTheme="minorEastAsia" w:hAnsiTheme="minorEastAsia" w:eastAsiaTheme="minorEastAsia" w:cstheme="minorEastAsia"/>
          <w:color w:val="auto"/>
          <w:kern w:val="0"/>
          <w:sz w:val="24"/>
          <w:szCs w:val="24"/>
          <w:highlight w:val="none"/>
        </w:rPr>
        <w:t>份，乙方持</w:t>
      </w:r>
      <w:r>
        <w:rPr>
          <w:rFonts w:hint="eastAsia" w:asciiTheme="minorEastAsia" w:hAnsiTheme="minorEastAsia" w:eastAsiaTheme="minorEastAsia" w:cstheme="minorEastAsia"/>
          <w:color w:val="auto"/>
          <w:kern w:val="0"/>
          <w:sz w:val="24"/>
          <w:szCs w:val="24"/>
          <w:highlight w:val="none"/>
          <w:u w:val="single"/>
        </w:rPr>
        <w:t xml:space="preserve">   </w:t>
      </w:r>
      <w:r>
        <w:rPr>
          <w:rFonts w:hint="eastAsia" w:asciiTheme="minorEastAsia" w:hAnsiTheme="minorEastAsia" w:eastAsiaTheme="minorEastAsia" w:cstheme="minorEastAsia"/>
          <w:color w:val="auto"/>
          <w:kern w:val="0"/>
          <w:sz w:val="24"/>
          <w:szCs w:val="24"/>
          <w:highlight w:val="none"/>
        </w:rPr>
        <w:t>份，本合同甲、乙</w:t>
      </w:r>
      <w:r>
        <w:rPr>
          <w:rFonts w:hint="eastAsia" w:asciiTheme="minorEastAsia" w:hAnsiTheme="minorEastAsia" w:eastAsiaTheme="minorEastAsia" w:cstheme="minorEastAsia"/>
          <w:color w:val="auto"/>
          <w:kern w:val="0"/>
          <w:sz w:val="24"/>
          <w:szCs w:val="24"/>
          <w:highlight w:val="none"/>
          <w:lang w:val="en-US" w:eastAsia="zh-CN"/>
        </w:rPr>
        <w:t>双</w:t>
      </w:r>
      <w:r>
        <w:rPr>
          <w:rFonts w:hint="eastAsia" w:asciiTheme="minorEastAsia" w:hAnsiTheme="minorEastAsia" w:eastAsiaTheme="minorEastAsia" w:cstheme="minorEastAsia"/>
          <w:color w:val="auto"/>
          <w:kern w:val="0"/>
          <w:sz w:val="24"/>
          <w:szCs w:val="24"/>
          <w:highlight w:val="none"/>
        </w:rPr>
        <w:t>方签字并盖章后生效，合同执行完毕后，自动失效（合同的服务承诺则长期有效）。</w:t>
      </w:r>
      <w:bookmarkStart w:id="0" w:name="_GoBack"/>
      <w:bookmarkEnd w:id="0"/>
    </w:p>
    <w:tbl>
      <w:tblPr>
        <w:tblStyle w:val="5"/>
        <w:tblW w:w="9079" w:type="dxa"/>
        <w:tblInd w:w="-43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04"/>
        <w:gridCol w:w="4675"/>
      </w:tblGrid>
      <w:tr w14:paraId="6D80E0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trPr>
        <w:tc>
          <w:tcPr>
            <w:tcW w:w="4404" w:type="dxa"/>
            <w:noWrap w:val="0"/>
            <w:vAlign w:val="top"/>
          </w:tcPr>
          <w:p w14:paraId="31F62BF5">
            <w:pPr>
              <w:autoSpaceDE w:val="0"/>
              <w:autoSpaceDN w:val="0"/>
              <w:adjustRightInd w:val="0"/>
              <w:spacing w:line="360" w:lineRule="auto"/>
              <w:jc w:val="center"/>
              <w:rPr>
                <w:rFonts w:hint="eastAsia" w:ascii="宋体" w:hAnsi="宋体"/>
                <w:color w:val="auto"/>
                <w:spacing w:val="-20"/>
                <w:kern w:val="0"/>
                <w:sz w:val="24"/>
                <w:highlight w:val="none"/>
              </w:rPr>
            </w:pPr>
            <w:r>
              <w:rPr>
                <w:rFonts w:hint="eastAsia" w:ascii="宋体" w:hAnsi="宋体"/>
                <w:color w:val="auto"/>
                <w:spacing w:val="-20"/>
                <w:kern w:val="0"/>
                <w:sz w:val="24"/>
                <w:highlight w:val="none"/>
              </w:rPr>
              <w:t>甲  方</w:t>
            </w:r>
          </w:p>
        </w:tc>
        <w:tc>
          <w:tcPr>
            <w:tcW w:w="4675" w:type="dxa"/>
            <w:noWrap w:val="0"/>
            <w:vAlign w:val="top"/>
          </w:tcPr>
          <w:p w14:paraId="05F1208A">
            <w:pPr>
              <w:autoSpaceDE w:val="0"/>
              <w:autoSpaceDN w:val="0"/>
              <w:adjustRightInd w:val="0"/>
              <w:spacing w:line="360" w:lineRule="auto"/>
              <w:jc w:val="center"/>
              <w:rPr>
                <w:rFonts w:hint="eastAsia" w:ascii="宋体" w:hAnsi="宋体"/>
                <w:color w:val="auto"/>
                <w:spacing w:val="-20"/>
                <w:kern w:val="0"/>
                <w:sz w:val="24"/>
                <w:highlight w:val="none"/>
              </w:rPr>
            </w:pPr>
            <w:r>
              <w:rPr>
                <w:rFonts w:hint="eastAsia" w:ascii="宋体" w:hAnsi="宋体"/>
                <w:color w:val="auto"/>
                <w:spacing w:val="-20"/>
                <w:kern w:val="0"/>
                <w:sz w:val="24"/>
                <w:highlight w:val="none"/>
              </w:rPr>
              <w:t>乙  方</w:t>
            </w:r>
          </w:p>
        </w:tc>
      </w:tr>
      <w:tr w14:paraId="0898D8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2" w:hRule="atLeast"/>
        </w:trPr>
        <w:tc>
          <w:tcPr>
            <w:tcW w:w="4404" w:type="dxa"/>
            <w:noWrap w:val="0"/>
            <w:vAlign w:val="center"/>
          </w:tcPr>
          <w:p w14:paraId="20BA88AB">
            <w:pPr>
              <w:spacing w:line="240" w:lineRule="auto"/>
              <w:jc w:val="center"/>
              <w:rPr>
                <w:rFonts w:hint="eastAsia" w:ascii="宋体" w:hAnsi="宋体"/>
                <w:color w:val="auto"/>
                <w:kern w:val="0"/>
                <w:sz w:val="24"/>
                <w:highlight w:val="none"/>
              </w:rPr>
            </w:pPr>
            <w:r>
              <w:rPr>
                <w:rFonts w:hint="eastAsia" w:ascii="宋体" w:hAnsi="宋体"/>
                <w:color w:val="auto"/>
                <w:kern w:val="0"/>
                <w:sz w:val="24"/>
                <w:highlight w:val="none"/>
              </w:rPr>
              <w:t>采购人名称</w:t>
            </w:r>
          </w:p>
          <w:p w14:paraId="088F7FD6">
            <w:pPr>
              <w:spacing w:line="240" w:lineRule="auto"/>
              <w:jc w:val="center"/>
              <w:rPr>
                <w:rFonts w:hint="eastAsia" w:ascii="宋体" w:hAnsi="宋体"/>
                <w:b/>
                <w:color w:val="auto"/>
                <w:kern w:val="0"/>
                <w:sz w:val="24"/>
                <w:highlight w:val="none"/>
              </w:rPr>
            </w:pPr>
            <w:r>
              <w:rPr>
                <w:rFonts w:hint="eastAsia" w:ascii="宋体" w:hAnsi="宋体"/>
                <w:b/>
                <w:color w:val="auto"/>
                <w:kern w:val="0"/>
                <w:sz w:val="24"/>
                <w:highlight w:val="none"/>
              </w:rPr>
              <w:t>（请填写具体名称）</w:t>
            </w:r>
          </w:p>
          <w:p w14:paraId="2C4D806C">
            <w:pPr>
              <w:spacing w:line="240" w:lineRule="auto"/>
              <w:jc w:val="center"/>
              <w:rPr>
                <w:rFonts w:hint="eastAsia" w:ascii="宋体" w:hAnsi="宋体"/>
                <w:color w:val="auto"/>
                <w:kern w:val="0"/>
                <w:sz w:val="24"/>
                <w:highlight w:val="none"/>
              </w:rPr>
            </w:pPr>
            <w:r>
              <w:rPr>
                <w:rFonts w:hint="eastAsia" w:ascii="宋体" w:hAnsi="宋体"/>
                <w:color w:val="auto"/>
                <w:kern w:val="0"/>
                <w:sz w:val="24"/>
                <w:highlight w:val="none"/>
              </w:rPr>
              <w:t>（盖章）</w:t>
            </w:r>
          </w:p>
        </w:tc>
        <w:tc>
          <w:tcPr>
            <w:tcW w:w="4675" w:type="dxa"/>
            <w:noWrap w:val="0"/>
            <w:vAlign w:val="center"/>
          </w:tcPr>
          <w:p w14:paraId="38DC97E6">
            <w:pPr>
              <w:spacing w:line="240" w:lineRule="auto"/>
              <w:jc w:val="center"/>
              <w:rPr>
                <w:rFonts w:hint="eastAsia" w:ascii="宋体" w:hAnsi="宋体"/>
                <w:color w:val="auto"/>
                <w:kern w:val="0"/>
                <w:sz w:val="24"/>
                <w:highlight w:val="none"/>
              </w:rPr>
            </w:pPr>
            <w:r>
              <w:rPr>
                <w:rFonts w:hint="eastAsia" w:ascii="宋体" w:hAnsi="宋体"/>
                <w:color w:val="auto"/>
                <w:kern w:val="0"/>
                <w:sz w:val="24"/>
                <w:highlight w:val="none"/>
              </w:rPr>
              <w:t>成交供应商全称</w:t>
            </w:r>
          </w:p>
          <w:p w14:paraId="77F8A5F2">
            <w:pPr>
              <w:spacing w:line="240" w:lineRule="auto"/>
              <w:jc w:val="center"/>
              <w:rPr>
                <w:rFonts w:hint="eastAsia" w:ascii="宋体" w:hAnsi="宋体"/>
                <w:b/>
                <w:color w:val="auto"/>
                <w:kern w:val="0"/>
                <w:sz w:val="24"/>
                <w:highlight w:val="none"/>
              </w:rPr>
            </w:pPr>
            <w:r>
              <w:rPr>
                <w:rFonts w:hint="eastAsia" w:ascii="宋体" w:hAnsi="宋体"/>
                <w:b/>
                <w:color w:val="auto"/>
                <w:kern w:val="0"/>
                <w:sz w:val="24"/>
                <w:highlight w:val="none"/>
              </w:rPr>
              <w:t>（请填写具体名称）</w:t>
            </w:r>
          </w:p>
          <w:p w14:paraId="50540E51">
            <w:pPr>
              <w:spacing w:line="240" w:lineRule="auto"/>
              <w:jc w:val="center"/>
              <w:rPr>
                <w:rFonts w:hint="eastAsia" w:ascii="宋体" w:hAnsi="宋体"/>
                <w:color w:val="auto"/>
                <w:kern w:val="0"/>
                <w:sz w:val="24"/>
                <w:highlight w:val="none"/>
              </w:rPr>
            </w:pPr>
            <w:r>
              <w:rPr>
                <w:rFonts w:hint="eastAsia" w:ascii="宋体" w:hAnsi="宋体"/>
                <w:color w:val="auto"/>
                <w:kern w:val="0"/>
                <w:sz w:val="24"/>
                <w:highlight w:val="none"/>
              </w:rPr>
              <w:t>（盖章）</w:t>
            </w:r>
          </w:p>
        </w:tc>
      </w:tr>
      <w:tr w14:paraId="5E1158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trPr>
        <w:tc>
          <w:tcPr>
            <w:tcW w:w="4404" w:type="dxa"/>
            <w:noWrap w:val="0"/>
            <w:vAlign w:val="top"/>
          </w:tcPr>
          <w:p w14:paraId="3623584B">
            <w:pPr>
              <w:spacing w:line="360" w:lineRule="auto"/>
              <w:rPr>
                <w:rFonts w:hint="eastAsia" w:ascii="宋体" w:hAnsi="宋体"/>
                <w:color w:val="auto"/>
                <w:kern w:val="0"/>
                <w:sz w:val="24"/>
                <w:highlight w:val="none"/>
              </w:rPr>
            </w:pPr>
            <w:r>
              <w:rPr>
                <w:rFonts w:hint="eastAsia" w:ascii="宋体" w:hAnsi="宋体"/>
                <w:color w:val="auto"/>
                <w:kern w:val="0"/>
                <w:sz w:val="24"/>
                <w:highlight w:val="none"/>
              </w:rPr>
              <w:t xml:space="preserve">地址： </w:t>
            </w:r>
          </w:p>
        </w:tc>
        <w:tc>
          <w:tcPr>
            <w:tcW w:w="4675" w:type="dxa"/>
            <w:noWrap w:val="0"/>
            <w:vAlign w:val="top"/>
          </w:tcPr>
          <w:p w14:paraId="1B77971B">
            <w:pPr>
              <w:spacing w:line="360" w:lineRule="auto"/>
              <w:rPr>
                <w:rFonts w:hint="eastAsia" w:ascii="宋体" w:hAnsi="宋体"/>
                <w:color w:val="auto"/>
                <w:kern w:val="0"/>
                <w:sz w:val="24"/>
                <w:highlight w:val="none"/>
              </w:rPr>
            </w:pPr>
            <w:r>
              <w:rPr>
                <w:rFonts w:hint="eastAsia" w:ascii="宋体" w:hAnsi="宋体"/>
                <w:color w:val="auto"/>
                <w:kern w:val="0"/>
                <w:sz w:val="24"/>
                <w:highlight w:val="none"/>
              </w:rPr>
              <w:t>地址：</w:t>
            </w:r>
          </w:p>
        </w:tc>
      </w:tr>
      <w:tr w14:paraId="0C041C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trPr>
        <w:tc>
          <w:tcPr>
            <w:tcW w:w="4404" w:type="dxa"/>
            <w:noWrap w:val="0"/>
            <w:vAlign w:val="top"/>
          </w:tcPr>
          <w:p w14:paraId="368CB373">
            <w:pPr>
              <w:spacing w:line="360" w:lineRule="auto"/>
              <w:rPr>
                <w:rFonts w:hint="eastAsia" w:ascii="宋体" w:hAnsi="宋体"/>
                <w:color w:val="auto"/>
                <w:kern w:val="0"/>
                <w:sz w:val="24"/>
                <w:highlight w:val="none"/>
              </w:rPr>
            </w:pPr>
            <w:r>
              <w:rPr>
                <w:rFonts w:hint="eastAsia" w:ascii="宋体" w:hAnsi="宋体"/>
                <w:color w:val="auto"/>
                <w:kern w:val="0"/>
                <w:sz w:val="24"/>
                <w:highlight w:val="none"/>
              </w:rPr>
              <w:t>邮编：</w:t>
            </w:r>
          </w:p>
        </w:tc>
        <w:tc>
          <w:tcPr>
            <w:tcW w:w="4675" w:type="dxa"/>
            <w:noWrap w:val="0"/>
            <w:vAlign w:val="top"/>
          </w:tcPr>
          <w:p w14:paraId="1ED188F1">
            <w:pPr>
              <w:spacing w:line="360" w:lineRule="auto"/>
              <w:rPr>
                <w:rFonts w:hint="eastAsia" w:ascii="宋体" w:hAnsi="宋体"/>
                <w:color w:val="auto"/>
                <w:kern w:val="0"/>
                <w:sz w:val="24"/>
                <w:highlight w:val="none"/>
              </w:rPr>
            </w:pPr>
            <w:r>
              <w:rPr>
                <w:rFonts w:hint="eastAsia" w:ascii="宋体" w:hAnsi="宋体"/>
                <w:color w:val="auto"/>
                <w:kern w:val="0"/>
                <w:sz w:val="24"/>
                <w:highlight w:val="none"/>
              </w:rPr>
              <w:t>邮编：</w:t>
            </w:r>
          </w:p>
        </w:tc>
      </w:tr>
      <w:tr w14:paraId="24DAB4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trPr>
        <w:tc>
          <w:tcPr>
            <w:tcW w:w="4404" w:type="dxa"/>
            <w:noWrap w:val="0"/>
            <w:vAlign w:val="top"/>
          </w:tcPr>
          <w:p w14:paraId="23161316">
            <w:pPr>
              <w:spacing w:line="360" w:lineRule="auto"/>
              <w:rPr>
                <w:rFonts w:hint="eastAsia" w:ascii="宋体" w:hAnsi="宋体"/>
                <w:color w:val="auto"/>
                <w:kern w:val="0"/>
                <w:sz w:val="24"/>
                <w:highlight w:val="none"/>
              </w:rPr>
            </w:pPr>
            <w:r>
              <w:rPr>
                <w:rFonts w:hint="eastAsia" w:ascii="宋体" w:hAnsi="宋体"/>
                <w:color w:val="auto"/>
                <w:kern w:val="0"/>
                <w:sz w:val="24"/>
                <w:highlight w:val="none"/>
              </w:rPr>
              <w:t xml:space="preserve">法定代表人： </w:t>
            </w:r>
          </w:p>
        </w:tc>
        <w:tc>
          <w:tcPr>
            <w:tcW w:w="4675" w:type="dxa"/>
            <w:noWrap w:val="0"/>
            <w:vAlign w:val="top"/>
          </w:tcPr>
          <w:p w14:paraId="79E23FA2">
            <w:pPr>
              <w:spacing w:line="360" w:lineRule="auto"/>
              <w:rPr>
                <w:rFonts w:hint="eastAsia" w:ascii="宋体" w:hAnsi="宋体"/>
                <w:color w:val="auto"/>
                <w:kern w:val="0"/>
                <w:sz w:val="24"/>
                <w:highlight w:val="none"/>
              </w:rPr>
            </w:pPr>
            <w:r>
              <w:rPr>
                <w:rFonts w:hint="eastAsia" w:ascii="宋体" w:hAnsi="宋体"/>
                <w:color w:val="auto"/>
                <w:kern w:val="0"/>
                <w:sz w:val="24"/>
                <w:highlight w:val="none"/>
              </w:rPr>
              <w:t>法定代表人：</w:t>
            </w:r>
          </w:p>
        </w:tc>
      </w:tr>
      <w:tr w14:paraId="0C1AF9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trPr>
        <w:tc>
          <w:tcPr>
            <w:tcW w:w="4404" w:type="dxa"/>
            <w:noWrap w:val="0"/>
            <w:vAlign w:val="top"/>
          </w:tcPr>
          <w:p w14:paraId="2A27934C">
            <w:pPr>
              <w:spacing w:line="360" w:lineRule="auto"/>
              <w:rPr>
                <w:rFonts w:hint="eastAsia" w:ascii="宋体" w:hAnsi="宋体"/>
                <w:color w:val="auto"/>
                <w:kern w:val="0"/>
                <w:sz w:val="24"/>
                <w:highlight w:val="none"/>
              </w:rPr>
            </w:pPr>
            <w:r>
              <w:rPr>
                <w:rFonts w:hint="eastAsia" w:ascii="宋体" w:hAnsi="宋体"/>
                <w:color w:val="auto"/>
                <w:kern w:val="0"/>
                <w:sz w:val="24"/>
                <w:highlight w:val="none"/>
              </w:rPr>
              <w:t>被授权代表：（签字）</w:t>
            </w:r>
          </w:p>
        </w:tc>
        <w:tc>
          <w:tcPr>
            <w:tcW w:w="4675" w:type="dxa"/>
            <w:noWrap w:val="0"/>
            <w:vAlign w:val="top"/>
          </w:tcPr>
          <w:p w14:paraId="4203DC07">
            <w:pPr>
              <w:spacing w:line="360" w:lineRule="auto"/>
              <w:rPr>
                <w:rFonts w:hint="eastAsia" w:ascii="宋体" w:hAnsi="宋体"/>
                <w:color w:val="auto"/>
                <w:kern w:val="0"/>
                <w:sz w:val="24"/>
                <w:highlight w:val="none"/>
              </w:rPr>
            </w:pPr>
            <w:r>
              <w:rPr>
                <w:rFonts w:hint="eastAsia" w:ascii="宋体" w:hAnsi="宋体"/>
                <w:color w:val="auto"/>
                <w:kern w:val="0"/>
                <w:sz w:val="24"/>
                <w:highlight w:val="none"/>
              </w:rPr>
              <w:t>被授权代表：（签字）</w:t>
            </w:r>
          </w:p>
        </w:tc>
      </w:tr>
      <w:tr w14:paraId="1B037E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trPr>
        <w:tc>
          <w:tcPr>
            <w:tcW w:w="4404" w:type="dxa"/>
            <w:noWrap w:val="0"/>
            <w:vAlign w:val="top"/>
          </w:tcPr>
          <w:p w14:paraId="790599C6">
            <w:pPr>
              <w:spacing w:line="360" w:lineRule="auto"/>
              <w:rPr>
                <w:rFonts w:hint="eastAsia" w:ascii="宋体" w:hAnsi="宋体"/>
                <w:color w:val="auto"/>
                <w:kern w:val="0"/>
                <w:sz w:val="24"/>
                <w:highlight w:val="none"/>
              </w:rPr>
            </w:pPr>
            <w:r>
              <w:rPr>
                <w:rFonts w:hint="eastAsia" w:ascii="宋体" w:hAnsi="宋体"/>
                <w:color w:val="auto"/>
                <w:kern w:val="0"/>
                <w:sz w:val="24"/>
                <w:highlight w:val="none"/>
              </w:rPr>
              <w:t>电话：</w:t>
            </w:r>
          </w:p>
        </w:tc>
        <w:tc>
          <w:tcPr>
            <w:tcW w:w="4675" w:type="dxa"/>
            <w:noWrap w:val="0"/>
            <w:vAlign w:val="top"/>
          </w:tcPr>
          <w:p w14:paraId="2C5A75A8">
            <w:pPr>
              <w:spacing w:line="360" w:lineRule="auto"/>
              <w:rPr>
                <w:rFonts w:hint="eastAsia" w:ascii="宋体" w:hAnsi="宋体"/>
                <w:color w:val="auto"/>
                <w:kern w:val="0"/>
                <w:sz w:val="24"/>
                <w:highlight w:val="none"/>
              </w:rPr>
            </w:pPr>
            <w:r>
              <w:rPr>
                <w:rFonts w:hint="eastAsia" w:ascii="宋体" w:hAnsi="宋体"/>
                <w:color w:val="auto"/>
                <w:kern w:val="0"/>
                <w:sz w:val="24"/>
                <w:highlight w:val="none"/>
              </w:rPr>
              <w:t>电话：</w:t>
            </w:r>
          </w:p>
        </w:tc>
      </w:tr>
      <w:tr w14:paraId="058A71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trPr>
        <w:tc>
          <w:tcPr>
            <w:tcW w:w="4404" w:type="dxa"/>
            <w:noWrap w:val="0"/>
            <w:vAlign w:val="top"/>
          </w:tcPr>
          <w:p w14:paraId="5650F058">
            <w:pPr>
              <w:spacing w:line="360" w:lineRule="auto"/>
              <w:rPr>
                <w:rFonts w:hint="eastAsia" w:ascii="宋体" w:hAnsi="宋体"/>
                <w:color w:val="auto"/>
                <w:kern w:val="0"/>
                <w:sz w:val="24"/>
                <w:highlight w:val="none"/>
              </w:rPr>
            </w:pPr>
            <w:r>
              <w:rPr>
                <w:rFonts w:hint="eastAsia" w:ascii="宋体" w:hAnsi="宋体"/>
                <w:color w:val="auto"/>
                <w:kern w:val="0"/>
                <w:sz w:val="24"/>
                <w:highlight w:val="none"/>
              </w:rPr>
              <w:t>传真：</w:t>
            </w:r>
          </w:p>
        </w:tc>
        <w:tc>
          <w:tcPr>
            <w:tcW w:w="4675" w:type="dxa"/>
            <w:noWrap w:val="0"/>
            <w:vAlign w:val="top"/>
          </w:tcPr>
          <w:p w14:paraId="2B4AC8E6">
            <w:pPr>
              <w:spacing w:line="360" w:lineRule="auto"/>
              <w:rPr>
                <w:rFonts w:hint="eastAsia" w:ascii="宋体" w:hAnsi="宋体"/>
                <w:color w:val="auto"/>
                <w:kern w:val="0"/>
                <w:sz w:val="24"/>
                <w:highlight w:val="none"/>
              </w:rPr>
            </w:pPr>
            <w:r>
              <w:rPr>
                <w:rFonts w:hint="eastAsia" w:ascii="宋体" w:hAnsi="宋体"/>
                <w:color w:val="auto"/>
                <w:kern w:val="0"/>
                <w:sz w:val="24"/>
                <w:highlight w:val="none"/>
              </w:rPr>
              <w:t>传真：</w:t>
            </w:r>
          </w:p>
        </w:tc>
      </w:tr>
      <w:tr w14:paraId="23A872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trPr>
        <w:tc>
          <w:tcPr>
            <w:tcW w:w="4404" w:type="dxa"/>
            <w:noWrap w:val="0"/>
            <w:vAlign w:val="top"/>
          </w:tcPr>
          <w:p w14:paraId="5EB8BF75">
            <w:pPr>
              <w:spacing w:line="360" w:lineRule="auto"/>
              <w:ind w:left="401" w:leftChars="134" w:hanging="120" w:hangingChars="50"/>
              <w:rPr>
                <w:rFonts w:hint="eastAsia" w:ascii="宋体" w:hAnsi="宋体"/>
                <w:color w:val="auto"/>
                <w:kern w:val="0"/>
                <w:sz w:val="24"/>
                <w:highlight w:val="none"/>
              </w:rPr>
            </w:pPr>
          </w:p>
        </w:tc>
        <w:tc>
          <w:tcPr>
            <w:tcW w:w="4675" w:type="dxa"/>
            <w:noWrap w:val="0"/>
            <w:vAlign w:val="top"/>
          </w:tcPr>
          <w:p w14:paraId="48408C45">
            <w:pPr>
              <w:spacing w:line="360" w:lineRule="auto"/>
              <w:rPr>
                <w:rFonts w:hint="eastAsia" w:ascii="宋体" w:hAnsi="宋体"/>
                <w:color w:val="auto"/>
                <w:kern w:val="0"/>
                <w:sz w:val="24"/>
                <w:highlight w:val="none"/>
              </w:rPr>
            </w:pPr>
            <w:r>
              <w:rPr>
                <w:rFonts w:hint="eastAsia" w:ascii="宋体" w:hAnsi="宋体"/>
                <w:color w:val="auto"/>
                <w:kern w:val="0"/>
                <w:sz w:val="24"/>
                <w:highlight w:val="none"/>
              </w:rPr>
              <w:t>开户银行：</w:t>
            </w:r>
          </w:p>
        </w:tc>
      </w:tr>
      <w:tr w14:paraId="577421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trPr>
        <w:tc>
          <w:tcPr>
            <w:tcW w:w="4404" w:type="dxa"/>
            <w:noWrap w:val="0"/>
            <w:vAlign w:val="top"/>
          </w:tcPr>
          <w:p w14:paraId="0842D925">
            <w:pPr>
              <w:spacing w:line="360" w:lineRule="auto"/>
              <w:ind w:left="401" w:leftChars="134" w:hanging="120" w:hangingChars="50"/>
              <w:rPr>
                <w:rFonts w:hint="eastAsia" w:ascii="宋体" w:hAnsi="宋体"/>
                <w:color w:val="auto"/>
                <w:kern w:val="0"/>
                <w:sz w:val="24"/>
                <w:highlight w:val="none"/>
              </w:rPr>
            </w:pPr>
          </w:p>
        </w:tc>
        <w:tc>
          <w:tcPr>
            <w:tcW w:w="4675" w:type="dxa"/>
            <w:noWrap w:val="0"/>
            <w:vAlign w:val="top"/>
          </w:tcPr>
          <w:p w14:paraId="6164FE2E">
            <w:pPr>
              <w:spacing w:line="360" w:lineRule="auto"/>
              <w:rPr>
                <w:rFonts w:hint="eastAsia" w:ascii="宋体" w:hAnsi="宋体"/>
                <w:color w:val="auto"/>
                <w:kern w:val="0"/>
                <w:sz w:val="24"/>
                <w:highlight w:val="none"/>
              </w:rPr>
            </w:pPr>
            <w:r>
              <w:rPr>
                <w:rFonts w:hint="eastAsia" w:ascii="宋体" w:hAnsi="宋体"/>
                <w:color w:val="auto"/>
                <w:kern w:val="0"/>
                <w:sz w:val="24"/>
                <w:highlight w:val="none"/>
              </w:rPr>
              <w:t>帐号：</w:t>
            </w:r>
          </w:p>
        </w:tc>
      </w:tr>
      <w:tr w14:paraId="57D2D8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trPr>
        <w:tc>
          <w:tcPr>
            <w:tcW w:w="4404" w:type="dxa"/>
            <w:noWrap w:val="0"/>
            <w:vAlign w:val="top"/>
          </w:tcPr>
          <w:p w14:paraId="3227617E">
            <w:pPr>
              <w:spacing w:line="360" w:lineRule="auto"/>
              <w:rPr>
                <w:rFonts w:hint="eastAsia" w:ascii="宋体" w:hAnsi="宋体"/>
                <w:color w:val="auto"/>
                <w:kern w:val="0"/>
                <w:sz w:val="24"/>
                <w:highlight w:val="none"/>
              </w:rPr>
            </w:pPr>
            <w:r>
              <w:rPr>
                <w:rFonts w:hint="eastAsia" w:ascii="宋体" w:hAnsi="宋体"/>
                <w:color w:val="auto"/>
                <w:kern w:val="0"/>
                <w:sz w:val="24"/>
                <w:highlight w:val="none"/>
              </w:rPr>
              <w:t>日期：   年   月   日</w:t>
            </w:r>
          </w:p>
        </w:tc>
        <w:tc>
          <w:tcPr>
            <w:tcW w:w="4675" w:type="dxa"/>
            <w:noWrap w:val="0"/>
            <w:vAlign w:val="top"/>
          </w:tcPr>
          <w:p w14:paraId="58305C54">
            <w:pPr>
              <w:spacing w:line="360" w:lineRule="auto"/>
              <w:rPr>
                <w:rFonts w:hint="eastAsia" w:ascii="宋体" w:hAnsi="宋体"/>
                <w:color w:val="auto"/>
                <w:kern w:val="0"/>
                <w:sz w:val="24"/>
                <w:highlight w:val="none"/>
              </w:rPr>
            </w:pPr>
            <w:r>
              <w:rPr>
                <w:rFonts w:hint="eastAsia" w:ascii="宋体" w:hAnsi="宋体"/>
                <w:color w:val="auto"/>
                <w:kern w:val="0"/>
                <w:sz w:val="24"/>
                <w:highlight w:val="none"/>
              </w:rPr>
              <w:t>日期：   年   月   日</w:t>
            </w:r>
          </w:p>
        </w:tc>
      </w:tr>
    </w:tbl>
    <w:p w14:paraId="78183CBB">
      <w:pPr>
        <w:rPr>
          <w:highlight w:val="none"/>
        </w:rPr>
      </w:pPr>
    </w:p>
    <w:sectPr>
      <w:footerReference r:id="rId5" w:type="first"/>
      <w:footerReference r:id="rId3" w:type="default"/>
      <w:footerReference r:id="rId4" w:type="even"/>
      <w:pgSz w:w="11907" w:h="16840"/>
      <w:pgMar w:top="1246" w:right="1418" w:bottom="1247" w:left="1644" w:header="851" w:footer="992" w:gutter="0"/>
      <w:pgNumType w:start="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80"/>
    <w:family w:val="swiss"/>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8233AD">
    <w:pPr>
      <w:pStyle w:val="4"/>
      <w:framePr w:wrap="around" w:vAnchor="text" w:hAnchor="margin" w:xAlign="center" w:y="1"/>
      <w:rPr>
        <w:rStyle w:val="7"/>
        <w:rFonts w:hint="eastAsia"/>
      </w:rPr>
    </w:pPr>
    <w:r>
      <w:rPr>
        <w:rStyle w:val="7"/>
        <w:rFonts w:hint="eastAsia"/>
        <w:kern w:val="0"/>
        <w:szCs w:val="21"/>
      </w:rPr>
      <w:t>第</w:t>
    </w:r>
    <w:r>
      <w:fldChar w:fldCharType="begin"/>
    </w:r>
    <w:r>
      <w:rPr>
        <w:rStyle w:val="7"/>
      </w:rPr>
      <w:instrText xml:space="preserve"> PAGE </w:instrText>
    </w:r>
    <w:r>
      <w:fldChar w:fldCharType="separate"/>
    </w:r>
    <w:r>
      <w:rPr>
        <w:rStyle w:val="7"/>
      </w:rPr>
      <w:t>7</w:t>
    </w:r>
    <w:r>
      <w:fldChar w:fldCharType="end"/>
    </w:r>
    <w:r>
      <w:rPr>
        <w:rStyle w:val="7"/>
        <w:rFonts w:hint="eastAsia"/>
        <w:kern w:val="0"/>
        <w:szCs w:val="21"/>
      </w:rPr>
      <w:t>页 共 9 页</w:t>
    </w:r>
  </w:p>
  <w:p w14:paraId="15A05F7A">
    <w:pPr>
      <w:pStyle w:val="4"/>
      <w:jc w:val="center"/>
      <w:rPr>
        <w:rFonts w:hint="eastAsia"/>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B91746">
    <w:pPr>
      <w:pStyle w:val="4"/>
      <w:framePr w:wrap="around" w:vAnchor="text" w:hAnchor="margin" w:xAlign="center" w:y="1"/>
      <w:rPr>
        <w:rStyle w:val="7"/>
      </w:rPr>
    </w:pPr>
    <w:r>
      <w:fldChar w:fldCharType="begin"/>
    </w:r>
    <w:r>
      <w:rPr>
        <w:rStyle w:val="7"/>
      </w:rPr>
      <w:instrText xml:space="preserve">PAGE  </w:instrText>
    </w:r>
    <w:r>
      <w:fldChar w:fldCharType="end"/>
    </w:r>
  </w:p>
  <w:p w14:paraId="5CD6414F">
    <w:pPr>
      <w:pStyle w:val="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3966DD">
    <w:pPr>
      <w:pStyle w:val="4"/>
      <w:framePr w:wrap="around" w:vAnchor="text" w:hAnchor="margin" w:xAlign="center" w:y="1"/>
      <w:rPr>
        <w:rStyle w:val="7"/>
      </w:rPr>
    </w:pPr>
  </w:p>
  <w:p w14:paraId="41CC79F0">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BjMTUwMjhmNmI2ZmVlMTBkYzRmYzI5MTBmNTk5ODUifQ=="/>
  </w:docVars>
  <w:rsids>
    <w:rsidRoot w:val="00000000"/>
    <w:rsid w:val="061D55F2"/>
    <w:rsid w:val="091E4162"/>
    <w:rsid w:val="0C82485C"/>
    <w:rsid w:val="0D7A4A46"/>
    <w:rsid w:val="0E7E40C2"/>
    <w:rsid w:val="10815E85"/>
    <w:rsid w:val="14276E77"/>
    <w:rsid w:val="193052BC"/>
    <w:rsid w:val="1B6C6B7C"/>
    <w:rsid w:val="1CBC69DD"/>
    <w:rsid w:val="1DEF2253"/>
    <w:rsid w:val="25947063"/>
    <w:rsid w:val="2D220281"/>
    <w:rsid w:val="2E812137"/>
    <w:rsid w:val="301B756B"/>
    <w:rsid w:val="35D22DC1"/>
    <w:rsid w:val="365D71F0"/>
    <w:rsid w:val="39237490"/>
    <w:rsid w:val="3CCF60D3"/>
    <w:rsid w:val="3F604FAB"/>
    <w:rsid w:val="44A45929"/>
    <w:rsid w:val="44E46DDA"/>
    <w:rsid w:val="51B246F4"/>
    <w:rsid w:val="52CD7A31"/>
    <w:rsid w:val="56DF6C95"/>
    <w:rsid w:val="575904BD"/>
    <w:rsid w:val="59CC3145"/>
    <w:rsid w:val="5DFE20F6"/>
    <w:rsid w:val="6AE5555F"/>
    <w:rsid w:val="6F7B42B6"/>
    <w:rsid w:val="77966CBE"/>
    <w:rsid w:val="78DD60A9"/>
    <w:rsid w:val="7D265CD3"/>
    <w:rsid w:val="7F6627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Normal Indent"/>
    <w:basedOn w:val="1"/>
    <w:next w:val="3"/>
    <w:qFormat/>
    <w:uiPriority w:val="0"/>
    <w:pPr>
      <w:ind w:firstLine="200" w:firstLineChars="200"/>
    </w:pPr>
    <w:rPr>
      <w:rFonts w:asciiTheme="minorHAnsi" w:hAnsiTheme="minorHAnsi" w:cstheme="minorBidi"/>
      <w:szCs w:val="21"/>
    </w:rPr>
  </w:style>
  <w:style w:type="paragraph" w:styleId="3">
    <w:name w:val="Plain Text"/>
    <w:basedOn w:val="1"/>
    <w:next w:val="1"/>
    <w:semiHidden/>
    <w:unhideWhenUsed/>
    <w:qFormat/>
    <w:uiPriority w:val="99"/>
    <w:pPr>
      <w:adjustRightInd w:val="0"/>
      <w:snapToGrid w:val="0"/>
      <w:spacing w:line="360" w:lineRule="auto"/>
    </w:pPr>
    <w:rPr>
      <w:rFonts w:ascii="宋体" w:hAnsi="Courier New"/>
    </w:rPr>
  </w:style>
  <w:style w:type="paragraph" w:styleId="4">
    <w:name w:val="footer"/>
    <w:basedOn w:val="1"/>
    <w:qFormat/>
    <w:uiPriority w:val="0"/>
    <w:pPr>
      <w:tabs>
        <w:tab w:val="center" w:pos="4153"/>
        <w:tab w:val="right" w:pos="8306"/>
      </w:tabs>
      <w:snapToGrid w:val="0"/>
      <w:jc w:val="left"/>
    </w:pPr>
    <w:rPr>
      <w:sz w:val="18"/>
      <w:szCs w:val="18"/>
    </w:rPr>
  </w:style>
  <w:style w:type="character" w:styleId="7">
    <w:name w:val="page number"/>
    <w:basedOn w:val="6"/>
    <w:qFormat/>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5130</Words>
  <Characters>5173</Characters>
  <Lines>0</Lines>
  <Paragraphs>0</Paragraphs>
  <TotalTime>3</TotalTime>
  <ScaleCrop>false</ScaleCrop>
  <LinksUpToDate>false</LinksUpToDate>
  <CharactersWithSpaces>5336</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2024-06-20T10:04:00Z</dcterms:created>
  <dc:creator>Administrator</dc:creator>
  <cp:lastModifiedBy>馍馍窝里的娃娃</cp:lastModifiedBy>
  <dcterms:modified xsi:type="dcterms:W3CDTF">2025-07-08T07:34:25Z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C26DE1517894441493CC9301A56ADB30_13</vt:lpwstr>
  </property>
  <property fmtid="{D5CDD505-2E9C-101B-9397-08002B2CF9AE}" pid="4" name="KSOTemplateDocerSaveRecord">
    <vt:lpwstr>eyJoZGlkIjoiNTk5ZDM4Mzk1N2Y1ZTYxMmYyYjg1ZDUwNTRmYTA0MDYiLCJ1c2VySWQiOiI3ODQ2ODY4NzEifQ==</vt:lpwstr>
  </property>
</Properties>
</file>