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版本号：ZCSP-蒲城县-2025-0020520250805001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蒲城县国民经济和社会发展第十五个五年规划纲要及“十五五”重大项目库编制项目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ZCSP-蒲城县-2025-00205</w:t>
      </w:r>
      <w:r>
        <w:br/>
      </w:r>
      <w:r>
        <w:br/>
      </w:r>
      <w:r>
        <w:br/>
      </w:r>
    </w:p>
    <w:p>
      <w:pPr>
        <w:pStyle w:val="null3"/>
        <w:jc w:val="center"/>
        <w:outlineLvl w:val="2"/>
      </w:pPr>
      <w:r>
        <w:rPr>
          <w:rFonts w:ascii="仿宋_GB2312" w:hAnsi="仿宋_GB2312" w:cs="仿宋_GB2312" w:eastAsia="仿宋_GB2312"/>
          <w:sz w:val="28"/>
          <w:b/>
        </w:rPr>
        <w:t>蒲城县发展和改革局</w:t>
      </w:r>
    </w:p>
    <w:p>
      <w:pPr>
        <w:pStyle w:val="null3"/>
        <w:jc w:val="center"/>
        <w:outlineLvl w:val="2"/>
      </w:pPr>
      <w:r>
        <w:rPr>
          <w:rFonts w:ascii="仿宋_GB2312" w:hAnsi="仿宋_GB2312" w:cs="仿宋_GB2312" w:eastAsia="仿宋_GB2312"/>
          <w:sz w:val="28"/>
          <w:b/>
        </w:rPr>
        <w:t>丰诺工程咨询有限公司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丰诺工程咨询有限公司</w:t>
      </w:r>
      <w:r>
        <w:rPr>
          <w:rFonts w:ascii="仿宋_GB2312" w:hAnsi="仿宋_GB2312" w:cs="仿宋_GB2312" w:eastAsia="仿宋_GB2312"/>
        </w:rPr>
        <w:t>（以下简称“代理机构”）受</w:t>
      </w:r>
      <w:r>
        <w:rPr>
          <w:rFonts w:ascii="仿宋_GB2312" w:hAnsi="仿宋_GB2312" w:cs="仿宋_GB2312" w:eastAsia="仿宋_GB2312"/>
        </w:rPr>
        <w:t>蒲城县发展和改革局</w:t>
      </w:r>
      <w:r>
        <w:rPr>
          <w:rFonts w:ascii="仿宋_GB2312" w:hAnsi="仿宋_GB2312" w:cs="仿宋_GB2312" w:eastAsia="仿宋_GB2312"/>
        </w:rPr>
        <w:t>委托，拟对</w:t>
      </w:r>
      <w:r>
        <w:rPr>
          <w:rFonts w:ascii="仿宋_GB2312" w:hAnsi="仿宋_GB2312" w:cs="仿宋_GB2312" w:eastAsia="仿宋_GB2312"/>
        </w:rPr>
        <w:t>蒲城县国民经济和社会发展第十五个五年规划纲要及“十五五”重大项目库编制项目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ZCSP-蒲城县-2025-00205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蒲城县国民经济和社会发展第十五个五年规划纲要及“十五五”重大项目库编制项目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蒲城县国民经济和社会发展第十五个五年规划纲要及“十五五”重大项目库编制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健全的财务会计制度：提供经审计的2024年度完整的财务报告(成立时间至响应文件递交载止时间不足一年的可提供成立后任意时段的资产负债表)或投标文件递交截止时间前六个月内银行出具的资信证明;其他组织和自然人提供银行出具的资信证明或财务报表；</w:t>
      </w:r>
    </w:p>
    <w:p>
      <w:pPr>
        <w:pStyle w:val="null3"/>
      </w:pPr>
      <w:r>
        <w:rPr>
          <w:rFonts w:ascii="仿宋_GB2312" w:hAnsi="仿宋_GB2312" w:cs="仿宋_GB2312" w:eastAsia="仿宋_GB2312"/>
        </w:rPr>
        <w:t>3、税收缴纳证明和社会保障资金缴纳证明：①税收缴纳证明：提供截止至开标时间前一年内已缴纳的至少一个月的纳税证明或完税证明，依法免税的单位应提供相关证明材料；②社会保障资金缴纳证明：提供截止至开标时间前一年内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4、具有履行合同所必须的设备和专业技术能力：提供具有履行合同所必须的设备和专业技术能力的承诺书；</w:t>
      </w:r>
    </w:p>
    <w:p>
      <w:pPr>
        <w:pStyle w:val="null3"/>
      </w:pPr>
      <w:r>
        <w:rPr>
          <w:rFonts w:ascii="仿宋_GB2312" w:hAnsi="仿宋_GB2312" w:cs="仿宋_GB2312" w:eastAsia="仿宋_GB2312"/>
        </w:rPr>
        <w:t>5、参加政府采购活动前三年内，在经营活动中没有重大违法记录：提供参加政府采购活动前三年内，在经营活动中没有重大违法记录的书面声明；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6、法定代表人授权书或法定代表人身份证明：法定代表人参加投标的，须出具法定代表人身份证明书及身份证两面扫描件加盖公章；法定代表人授权委托代理人参加投标的，须出具法定代表人授权委托书、授权代表在投标前4个月内（不含投标当月）连续3个月由投标供应商缴纳社保证明材料、委托代理人身份证原件及身份证两面扫描件加盖公章；</w:t>
      </w:r>
    </w:p>
    <w:p>
      <w:pPr>
        <w:pStyle w:val="null3"/>
      </w:pPr>
      <w:r>
        <w:rPr>
          <w:rFonts w:ascii="仿宋_GB2312" w:hAnsi="仿宋_GB2312" w:cs="仿宋_GB2312" w:eastAsia="仿宋_GB2312"/>
        </w:rPr>
        <w:t>7、企业信誉：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p>
      <w:pPr>
        <w:pStyle w:val="null3"/>
      </w:pPr>
      <w:r>
        <w:rPr>
          <w:rFonts w:ascii="仿宋_GB2312" w:hAnsi="仿宋_GB2312" w:cs="仿宋_GB2312" w:eastAsia="仿宋_GB2312"/>
        </w:rPr>
        <w:t>8、投标保证金缴纳凭证：投标保证金缴纳符合要求；</w:t>
      </w:r>
    </w:p>
    <w:p>
      <w:pPr>
        <w:pStyle w:val="null3"/>
      </w:pPr>
      <w:r>
        <w:rPr>
          <w:rFonts w:ascii="仿宋_GB2312" w:hAnsi="仿宋_GB2312" w:cs="仿宋_GB2312" w:eastAsia="仿宋_GB2312"/>
        </w:rPr>
        <w:t>9、供应商控股关系：单位负责人为同一人或者存在直接控股、管理关系的不同供应商，不得参加同一合同项下的政府采购活动；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健全的财务会计制度：提供经审计的2024年度完整的财务报告(成立时间至响应文件递交载止时间不足一年的可提供成立后任意时段的资产负债表)或投标文件递交截止时间前六个月内银行出具的资信证明;其他组织和自然人提供银行出具的资信证明或财务报表；</w:t>
      </w:r>
    </w:p>
    <w:p>
      <w:pPr>
        <w:pStyle w:val="null3"/>
      </w:pPr>
      <w:r>
        <w:rPr>
          <w:rFonts w:ascii="仿宋_GB2312" w:hAnsi="仿宋_GB2312" w:cs="仿宋_GB2312" w:eastAsia="仿宋_GB2312"/>
        </w:rPr>
        <w:t>3、税收缴纳证明和社会保障资金缴纳证明：①税收缴纳证明：提供截止至开标时间前一年内已缴纳的至少一个月的纳税证明或完税证明，依法免税的单位应提供相关证明材料；②社会保障资金缴纳证明：提供截止至开标时间前一年内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4、具有履行合同所必须的设备和专业技术能力：提供具有履行合同所必须的设备和专业技术能力的承诺书；</w:t>
      </w:r>
    </w:p>
    <w:p>
      <w:pPr>
        <w:pStyle w:val="null3"/>
      </w:pPr>
      <w:r>
        <w:rPr>
          <w:rFonts w:ascii="仿宋_GB2312" w:hAnsi="仿宋_GB2312" w:cs="仿宋_GB2312" w:eastAsia="仿宋_GB2312"/>
        </w:rPr>
        <w:t>5、参加政府采购活动前三年内，在经营活动中没有重大违法记录：提供参加本次政府采购活动前三年内在经营活动中没有重大违法记录的书面声明；</w:t>
      </w:r>
    </w:p>
    <w:p>
      <w:pPr>
        <w:pStyle w:val="null3"/>
      </w:pPr>
      <w:r>
        <w:rPr>
          <w:rFonts w:ascii="仿宋_GB2312" w:hAnsi="仿宋_GB2312" w:cs="仿宋_GB2312" w:eastAsia="仿宋_GB2312"/>
        </w:rPr>
        <w:t>6、法定代表人授权书或法定代表人身份证明：法定代表人参加投标的，须出具法定代表人身份证明书及身份证两面扫描件加盖公章；法定代表人授权委托代理人参加投标的，须出具法定代表人授权委托书、授权代表在投标前4个月内（不含投标当月）连续3个月由投标供应商缴纳社保证明材料、委托代理人身份证原件及身份证两面扫描件加盖公章；</w:t>
      </w:r>
    </w:p>
    <w:p>
      <w:pPr>
        <w:pStyle w:val="null3"/>
      </w:pPr>
      <w:r>
        <w:rPr>
          <w:rFonts w:ascii="仿宋_GB2312" w:hAnsi="仿宋_GB2312" w:cs="仿宋_GB2312" w:eastAsia="仿宋_GB2312"/>
        </w:rPr>
        <w:t>7、企业信誉：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p>
      <w:pPr>
        <w:pStyle w:val="null3"/>
      </w:pPr>
      <w:r>
        <w:rPr>
          <w:rFonts w:ascii="仿宋_GB2312" w:hAnsi="仿宋_GB2312" w:cs="仿宋_GB2312" w:eastAsia="仿宋_GB2312"/>
        </w:rPr>
        <w:t>8、投标保证金：投标保证金缴纳符合要求；</w:t>
      </w:r>
    </w:p>
    <w:p>
      <w:pPr>
        <w:pStyle w:val="null3"/>
      </w:pPr>
      <w:r>
        <w:rPr>
          <w:rFonts w:ascii="仿宋_GB2312" w:hAnsi="仿宋_GB2312" w:cs="仿宋_GB2312" w:eastAsia="仿宋_GB2312"/>
        </w:rPr>
        <w:t>9、供应商控股关系：单位负责人为同一人或者存在直接控股、管理关系的不同供应商，不得参加同一合同项下的政府采购活动；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蒲城县发展和改革局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陕西省渭南市蒲城县红旗街政府大楼3楼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王建成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18829630919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丰诺工程咨询有限公司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陕西省西安市未央区陕西省西安市经济技术开发区凤城九路海博广场C座1603室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13484534019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13892323567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p>
          <w:p>
            <w:pPr>
              <w:pStyle w:val="null3"/>
            </w:pPr>
            <w:r>
              <w:rPr>
                <w:rFonts w:ascii="仿宋_GB2312" w:hAnsi="仿宋_GB2312" w:cs="仿宋_GB2312" w:eastAsia="仿宋_GB2312"/>
              </w:rPr>
              <w:t>采购包2：1,000,000.00元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采购包2保证金金额：15,000.00元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开户名称：丰诺工程咨询有限公司</w:t>
            </w:r>
          </w:p>
          <w:p>
            <w:pPr>
              <w:pStyle w:val="null3"/>
            </w:pPr>
            <w:r>
              <w:rPr>
                <w:rFonts w:ascii="仿宋_GB2312" w:hAnsi="仿宋_GB2312" w:cs="仿宋_GB2312" w:eastAsia="仿宋_GB2312"/>
              </w:rPr>
              <w:t>开户银行：中国工商银行股份有限公司西安朱雀路南段支行</w:t>
            </w:r>
          </w:p>
          <w:p>
            <w:pPr>
              <w:pStyle w:val="null3"/>
            </w:pPr>
            <w:r>
              <w:rPr>
                <w:rFonts w:ascii="仿宋_GB2312" w:hAnsi="仿宋_GB2312" w:cs="仿宋_GB2312" w:eastAsia="仿宋_GB2312"/>
              </w:rPr>
              <w:t>银行账号：3700083309100039532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蒲城县发展和改革局</w:t>
      </w:r>
      <w:r>
        <w:rPr>
          <w:rFonts w:ascii="仿宋_GB2312" w:hAnsi="仿宋_GB2312" w:cs="仿宋_GB2312" w:eastAsia="仿宋_GB2312"/>
        </w:rPr>
        <w:t>和</w:t>
      </w:r>
      <w:r>
        <w:rPr>
          <w:rFonts w:ascii="仿宋_GB2312" w:hAnsi="仿宋_GB2312" w:cs="仿宋_GB2312" w:eastAsia="仿宋_GB2312"/>
        </w:rPr>
        <w:t>丰诺工程咨询有限公司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蒲城县发展和改革局</w:t>
      </w:r>
      <w:r>
        <w:rPr>
          <w:rFonts w:ascii="仿宋_GB2312" w:hAnsi="仿宋_GB2312" w:cs="仿宋_GB2312" w:eastAsia="仿宋_GB2312"/>
        </w:rPr>
        <w:t>负责解释。除上述招标文件内容，其他内容由</w:t>
      </w:r>
      <w:r>
        <w:rPr>
          <w:rFonts w:ascii="仿宋_GB2312" w:hAnsi="仿宋_GB2312" w:cs="仿宋_GB2312" w:eastAsia="仿宋_GB2312"/>
        </w:rPr>
        <w:t>丰诺工程咨询有限公司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蒲城县发展和改革局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丰诺工程咨询有限公司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需符合国家、地方和行业标准及现行有关规范标准，成果须经蒲城县人民代表大会审议通过。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需符合国家、地方和行业标准及现行有关规范标准，成果须经蒲城县人民代表大会审议通过。</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丰诺工程咨询有限公司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丰诺工程咨询有限公司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丰诺工程咨询有限公司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汪冯军</w:t>
      </w:r>
    </w:p>
    <w:p>
      <w:pPr>
        <w:pStyle w:val="null3"/>
      </w:pPr>
      <w:r>
        <w:rPr>
          <w:rFonts w:ascii="仿宋_GB2312" w:hAnsi="仿宋_GB2312" w:cs="仿宋_GB2312" w:eastAsia="仿宋_GB2312"/>
        </w:rPr>
        <w:t>联系电话： 18291986459</w:t>
      </w:r>
    </w:p>
    <w:p>
      <w:pPr>
        <w:pStyle w:val="null3"/>
      </w:pPr>
      <w:r>
        <w:rPr>
          <w:rFonts w:ascii="仿宋_GB2312" w:hAnsi="仿宋_GB2312" w:cs="仿宋_GB2312" w:eastAsia="仿宋_GB2312"/>
        </w:rPr>
        <w:t>地址：陕西省西安市经济技术开发区凤城九路海博广场 B座1605室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蒲城县国民经济和社会发展第十五个五年规划纲要及“十五五”重大项目库编制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蒲城县国民经济和社会发展第十五个五年规划纲要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“十五五”重大项目库编制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标的名称：蒲城县国民经济和社会发展第十五个五年规划纲要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1、采购内容</w:t>
            </w:r>
            <w:r>
              <w:rPr>
                <w:rFonts w:ascii="仿宋_GB2312" w:hAnsi="仿宋_GB2312" w:cs="仿宋_GB2312" w:eastAsia="仿宋_GB2312"/>
              </w:rPr>
              <w:t>：</w:t>
            </w:r>
            <w:r>
              <w:rPr>
                <w:rFonts w:ascii="仿宋_GB2312" w:hAnsi="仿宋_GB2312" w:cs="仿宋_GB2312" w:eastAsia="仿宋_GB2312"/>
                <w:sz w:val="21"/>
                <w:color w:val="000000"/>
              </w:rPr>
              <w:t>蒲城县国民经济和社会发展第十五个五年规划纲要</w:t>
            </w:r>
            <w:r>
              <w:rPr>
                <w:rFonts w:ascii="仿宋_GB2312" w:hAnsi="仿宋_GB2312" w:cs="仿宋_GB2312" w:eastAsia="仿宋_GB2312"/>
                <w:sz w:val="21"/>
                <w:color w:val="000000"/>
              </w:rPr>
              <w:t>编制（以下简称</w:t>
            </w:r>
            <w:r>
              <w:rPr>
                <w:rFonts w:ascii="仿宋_GB2312" w:hAnsi="仿宋_GB2312" w:cs="仿宋_GB2312" w:eastAsia="仿宋_GB2312"/>
                <w:sz w:val="21"/>
                <w:color w:val="000000"/>
              </w:rPr>
              <w:t>“</w:t>
            </w:r>
            <w:r>
              <w:rPr>
                <w:rFonts w:ascii="仿宋_GB2312" w:hAnsi="仿宋_GB2312" w:cs="仿宋_GB2312" w:eastAsia="仿宋_GB2312"/>
                <w:sz w:val="21"/>
                <w:color w:val="000000"/>
              </w:rPr>
              <w:t>十五五</w:t>
            </w:r>
            <w:r>
              <w:rPr>
                <w:rFonts w:ascii="仿宋_GB2312" w:hAnsi="仿宋_GB2312" w:cs="仿宋_GB2312" w:eastAsia="仿宋_GB2312"/>
                <w:sz w:val="21"/>
                <w:color w:val="000000"/>
              </w:rPr>
              <w:t>”</w:t>
            </w:r>
            <w:r>
              <w:rPr>
                <w:rFonts w:ascii="仿宋_GB2312" w:hAnsi="仿宋_GB2312" w:cs="仿宋_GB2312" w:eastAsia="仿宋_GB2312"/>
                <w:sz w:val="21"/>
                <w:color w:val="000000"/>
              </w:rPr>
              <w:t>规划纲要编制）。</w:t>
            </w:r>
            <w:r>
              <w:rPr>
                <w:rFonts w:ascii="仿宋_GB2312" w:hAnsi="仿宋_GB2312" w:cs="仿宋_GB2312" w:eastAsia="仿宋_GB2312"/>
                <w:sz w:val="21"/>
                <w:color w:val="000000"/>
              </w:rPr>
              <w:t>成果文件（</w:t>
            </w:r>
            <w:r>
              <w:rPr>
                <w:rFonts w:ascii="仿宋_GB2312" w:hAnsi="仿宋_GB2312" w:cs="仿宋_GB2312" w:eastAsia="仿宋_GB2312"/>
                <w:sz w:val="21"/>
                <w:color w:val="000000"/>
              </w:rPr>
              <w:t>包括纸质文件成果和电子文件成果，下同</w:t>
            </w:r>
            <w:r>
              <w:rPr>
                <w:rFonts w:ascii="仿宋_GB2312" w:hAnsi="仿宋_GB2312" w:cs="仿宋_GB2312" w:eastAsia="仿宋_GB2312"/>
                <w:sz w:val="21"/>
                <w:color w:val="000000"/>
              </w:rPr>
              <w:t>）</w:t>
            </w:r>
            <w:r>
              <w:rPr>
                <w:rFonts w:ascii="仿宋_GB2312" w:hAnsi="仿宋_GB2312" w:cs="仿宋_GB2312" w:eastAsia="仿宋_GB2312"/>
                <w:sz w:val="21"/>
                <w:color w:val="000000"/>
              </w:rPr>
              <w:t>为：高质量编制完成</w:t>
            </w:r>
            <w:r>
              <w:rPr>
                <w:rFonts w:ascii="仿宋_GB2312" w:hAnsi="仿宋_GB2312" w:cs="仿宋_GB2312" w:eastAsia="仿宋_GB2312"/>
                <w:sz w:val="21"/>
                <w:color w:val="000000"/>
              </w:rPr>
              <w:t>《蒲城县国民经济和社会发展第十五个五年规划纲要》正式文本</w:t>
            </w:r>
            <w:r>
              <w:rPr>
                <w:rFonts w:ascii="仿宋_GB2312" w:hAnsi="仿宋_GB2312" w:cs="仿宋_GB2312" w:eastAsia="仿宋_GB2312"/>
                <w:sz w:val="21"/>
                <w:color w:val="000000"/>
              </w:rPr>
              <w:t>及</w:t>
            </w:r>
            <w:r>
              <w:rPr>
                <w:rFonts w:ascii="仿宋_GB2312" w:hAnsi="仿宋_GB2312" w:cs="仿宋_GB2312" w:eastAsia="仿宋_GB2312"/>
                <w:sz w:val="21"/>
                <w:color w:val="000000"/>
              </w:rPr>
              <w:t>规划解读文件</w:t>
            </w:r>
            <w:r>
              <w:rPr>
                <w:rFonts w:ascii="仿宋_GB2312" w:hAnsi="仿宋_GB2312" w:cs="仿宋_GB2312" w:eastAsia="仿宋_GB2312"/>
                <w:sz w:val="21"/>
                <w:color w:val="000000"/>
              </w:rPr>
              <w:t>，</w:t>
            </w:r>
            <w:r>
              <w:rPr>
                <w:rFonts w:ascii="仿宋_GB2312" w:hAnsi="仿宋_GB2312" w:cs="仿宋_GB2312" w:eastAsia="仿宋_GB2312"/>
                <w:sz w:val="21"/>
                <w:color w:val="000000"/>
              </w:rPr>
              <w:t>并协助完成各项成果的汇报、审查等工作。纲要正式文本应</w:t>
            </w:r>
            <w:r>
              <w:rPr>
                <w:rFonts w:ascii="仿宋_GB2312" w:hAnsi="仿宋_GB2312" w:cs="仿宋_GB2312" w:eastAsia="仿宋_GB2312"/>
                <w:sz w:val="21"/>
                <w:color w:val="000000"/>
              </w:rPr>
              <w:t>涵盖指导思想、基本原则、主要目标、发展定位、总体布局、重大战略任务、实施路径及保障措施</w:t>
            </w:r>
            <w:r>
              <w:rPr>
                <w:rFonts w:ascii="仿宋_GB2312" w:hAnsi="仿宋_GB2312" w:cs="仿宋_GB2312" w:eastAsia="仿宋_GB2312"/>
                <w:sz w:val="21"/>
                <w:color w:val="000000"/>
              </w:rPr>
              <w:t>等</w:t>
            </w:r>
            <w:r>
              <w:rPr>
                <w:rFonts w:ascii="仿宋_GB2312" w:hAnsi="仿宋_GB2312" w:cs="仿宋_GB2312" w:eastAsia="仿宋_GB2312"/>
                <w:sz w:val="21"/>
                <w:color w:val="000000"/>
              </w:rPr>
              <w:t>。规划解读</w:t>
            </w:r>
            <w:r>
              <w:rPr>
                <w:rFonts w:ascii="仿宋_GB2312" w:hAnsi="仿宋_GB2312" w:cs="仿宋_GB2312" w:eastAsia="仿宋_GB2312"/>
                <w:sz w:val="21"/>
                <w:color w:val="000000"/>
              </w:rPr>
              <w:t>文件应</w:t>
            </w:r>
            <w:r>
              <w:rPr>
                <w:rFonts w:ascii="仿宋_GB2312" w:hAnsi="仿宋_GB2312" w:cs="仿宋_GB2312" w:eastAsia="仿宋_GB2312"/>
                <w:sz w:val="21"/>
                <w:color w:val="000000"/>
              </w:rPr>
              <w:t>以通俗语言解释规划核心内容，便于公众和决策层理解，</w:t>
            </w:r>
            <w:r>
              <w:rPr>
                <w:rFonts w:ascii="仿宋_GB2312" w:hAnsi="仿宋_GB2312" w:cs="仿宋_GB2312" w:eastAsia="仿宋_GB2312"/>
                <w:sz w:val="21"/>
                <w:color w:val="000000"/>
              </w:rPr>
              <w:t>包括但不限于</w:t>
            </w:r>
            <w:r>
              <w:rPr>
                <w:rFonts w:ascii="仿宋_GB2312" w:hAnsi="仿宋_GB2312" w:cs="仿宋_GB2312" w:eastAsia="仿宋_GB2312"/>
                <w:sz w:val="21"/>
                <w:color w:val="000000"/>
              </w:rPr>
              <w:t>图表、摘要等形式。</w:t>
            </w:r>
          </w:p>
          <w:p>
            <w:pPr>
              <w:pStyle w:val="null3"/>
              <w:jc w:val="both"/>
            </w:pPr>
            <w:r>
              <w:rPr>
                <w:rFonts w:ascii="仿宋_GB2312" w:hAnsi="仿宋_GB2312" w:cs="仿宋_GB2312" w:eastAsia="仿宋_GB2312"/>
              </w:rPr>
              <w:t>2、</w:t>
            </w:r>
            <w:r>
              <w:rPr>
                <w:rFonts w:ascii="仿宋_GB2312" w:hAnsi="仿宋_GB2312" w:cs="仿宋_GB2312" w:eastAsia="仿宋_GB2312"/>
                <w:sz w:val="21"/>
                <w:color w:val="000000"/>
              </w:rPr>
              <w:t>服务内容：</w:t>
            </w:r>
          </w:p>
          <w:p>
            <w:pPr>
              <w:pStyle w:val="null3"/>
              <w:jc w:val="both"/>
            </w:pPr>
            <w:r>
              <w:rPr>
                <w:rFonts w:ascii="仿宋_GB2312" w:hAnsi="仿宋_GB2312" w:cs="仿宋_GB2312" w:eastAsia="仿宋_GB2312"/>
                <w:sz w:val="21"/>
              </w:rPr>
              <w:t>供应商需提供全流程咨询服务，包括但不限于</w:t>
            </w:r>
            <w:r>
              <w:rPr>
                <w:rFonts w:ascii="仿宋_GB2312" w:hAnsi="仿宋_GB2312" w:cs="仿宋_GB2312" w:eastAsia="仿宋_GB2312"/>
                <w:sz w:val="21"/>
              </w:rPr>
              <w:t>以下服务，并全过程配合蒲城县</w:t>
            </w:r>
            <w:r>
              <w:rPr>
                <w:rFonts w:ascii="仿宋_GB2312" w:hAnsi="仿宋_GB2312" w:cs="仿宋_GB2312" w:eastAsia="仿宋_GB2312"/>
                <w:sz w:val="21"/>
              </w:rPr>
              <w:t>“十五五”规划编制工作领导小组完成相关工作，服务期内派至少派1名高级规划师专业技术人员入驻本项目全过程开展技术服务，相关费用由中标单位承担。</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基础评估服务：总结蒲城县</w:t>
            </w:r>
            <w:r>
              <w:rPr>
                <w:rFonts w:ascii="仿宋_GB2312" w:hAnsi="仿宋_GB2312" w:cs="仿宋_GB2312" w:eastAsia="仿宋_GB2312"/>
              </w:rPr>
              <w:t>“十四五”时期发展成效与不足，梳理重大战略、项目、指标的完成情况，确保与“十五五”规划有序衔接。</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环境分析服务：研判国内外发展环境（机遇与挑战），结合国家、陕西省、渭南市政策导向，进行</w:t>
            </w:r>
            <w:r>
              <w:rPr>
                <w:rFonts w:ascii="仿宋_GB2312" w:hAnsi="仿宋_GB2312" w:cs="仿宋_GB2312" w:eastAsia="仿宋_GB2312"/>
              </w:rPr>
              <w:t>SWOT分析（优势、劣势、机会、威胁）。</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战略规划服务：确定</w:t>
            </w:r>
            <w:r>
              <w:rPr>
                <w:rFonts w:ascii="仿宋_GB2312" w:hAnsi="仿宋_GB2312" w:cs="仿宋_GB2312" w:eastAsia="仿宋_GB2312"/>
              </w:rPr>
              <w:t>“十五五”时期经济社会发展指导思想、基本原则、主要目标（量化指标如GDP增长率、就业率等）；设计发展定位与总体布局；提出重大战略任务（如产业升级、绿色发展）及实施路径（含重大工程、项目、政策）。</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衔接与论证服务：确保规划与国家、省、市上位规划紧密衔接；组织专家评审会或公众咨询，收集反馈并修订。</w:t>
            </w:r>
          </w:p>
          <w:p>
            <w:pPr>
              <w:pStyle w:val="null3"/>
              <w:jc w:val="both"/>
            </w:pPr>
            <w:r>
              <w:rPr>
                <w:rFonts w:ascii="仿宋_GB2312" w:hAnsi="仿宋_GB2312" w:cs="仿宋_GB2312" w:eastAsia="仿宋_GB2312"/>
              </w:rPr>
              <w:t>3、时间要求：</w:t>
            </w:r>
            <w:r>
              <w:rPr>
                <w:rFonts w:ascii="仿宋_GB2312" w:hAnsi="仿宋_GB2312" w:cs="仿宋_GB2312" w:eastAsia="仿宋_GB2312"/>
                <w:sz w:val="21"/>
                <w:color w:val="000000"/>
              </w:rPr>
              <w:t>合同生效之日起至</w:t>
            </w:r>
            <w:r>
              <w:rPr>
                <w:rFonts w:ascii="仿宋_GB2312" w:hAnsi="仿宋_GB2312" w:cs="仿宋_GB2312" w:eastAsia="仿宋_GB2312"/>
                <w:sz w:val="21"/>
                <w:color w:val="000000"/>
              </w:rPr>
              <w:t>2026年</w:t>
            </w:r>
            <w:r>
              <w:rPr>
                <w:rFonts w:ascii="仿宋_GB2312" w:hAnsi="仿宋_GB2312" w:cs="仿宋_GB2312" w:eastAsia="仿宋_GB2312"/>
                <w:sz w:val="21"/>
                <w:color w:val="000000"/>
              </w:rPr>
              <w:t>6月</w:t>
            </w:r>
            <w:r>
              <w:rPr>
                <w:rFonts w:ascii="仿宋_GB2312" w:hAnsi="仿宋_GB2312" w:cs="仿宋_GB2312" w:eastAsia="仿宋_GB2312"/>
                <w:sz w:val="21"/>
                <w:color w:val="000000"/>
              </w:rPr>
              <w:t>，确保蒲城县国民经济和社会发展第十五个五年规划纲要编制</w:t>
            </w:r>
            <w:r>
              <w:rPr>
                <w:rFonts w:ascii="仿宋_GB2312" w:hAnsi="仿宋_GB2312" w:cs="仿宋_GB2312" w:eastAsia="仿宋_GB2312"/>
                <w:sz w:val="21"/>
                <w:color w:val="000000"/>
              </w:rPr>
              <w:t>成果</w:t>
            </w:r>
            <w:r>
              <w:rPr>
                <w:rFonts w:ascii="仿宋_GB2312" w:hAnsi="仿宋_GB2312" w:cs="仿宋_GB2312" w:eastAsia="仿宋_GB2312"/>
                <w:sz w:val="21"/>
                <w:color w:val="000000"/>
              </w:rPr>
              <w:t>通过</w:t>
            </w:r>
            <w:r>
              <w:rPr>
                <w:rFonts w:ascii="仿宋_GB2312" w:hAnsi="仿宋_GB2312" w:cs="仿宋_GB2312" w:eastAsia="仿宋_GB2312"/>
                <w:sz w:val="21"/>
                <w:color w:val="000000"/>
              </w:rPr>
              <w:t>提交蒲城县人民代表</w:t>
            </w:r>
            <w:r>
              <w:rPr>
                <w:rFonts w:ascii="仿宋_GB2312" w:hAnsi="仿宋_GB2312" w:cs="仿宋_GB2312" w:eastAsia="仿宋_GB2312"/>
                <w:sz w:val="21"/>
                <w:color w:val="000000"/>
              </w:rPr>
              <w:t>大</w:t>
            </w:r>
            <w:r>
              <w:rPr>
                <w:rFonts w:ascii="仿宋_GB2312" w:hAnsi="仿宋_GB2312" w:cs="仿宋_GB2312" w:eastAsia="仿宋_GB2312"/>
                <w:sz w:val="21"/>
                <w:color w:val="000000"/>
              </w:rPr>
              <w:t>会</w:t>
            </w:r>
            <w:r>
              <w:rPr>
                <w:rFonts w:ascii="仿宋_GB2312" w:hAnsi="仿宋_GB2312" w:cs="仿宋_GB2312" w:eastAsia="仿宋_GB2312"/>
                <w:sz w:val="21"/>
                <w:color w:val="000000"/>
              </w:rPr>
              <w:t>审议</w:t>
            </w:r>
            <w:r>
              <w:rPr>
                <w:rFonts w:ascii="仿宋_GB2312" w:hAnsi="仿宋_GB2312" w:cs="仿宋_GB2312" w:eastAsia="仿宋_GB2312"/>
                <w:sz w:val="21"/>
                <w:color w:val="000000"/>
              </w:rPr>
              <w:t>通过，并完成备案工作</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rPr>
              <w:t>4、</w:t>
            </w:r>
            <w:r>
              <w:rPr>
                <w:rFonts w:ascii="仿宋_GB2312" w:hAnsi="仿宋_GB2312" w:cs="仿宋_GB2312" w:eastAsia="仿宋_GB2312"/>
                <w:sz w:val="21"/>
                <w:color w:val="000000"/>
              </w:rPr>
              <w:t>其他要求：</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、具体要求</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技术要求（内容质量）</w:t>
            </w:r>
          </w:p>
          <w:p>
            <w:pPr>
              <w:pStyle w:val="null3"/>
              <w:jc w:val="both"/>
            </w:pPr>
            <w:r>
              <w:rPr>
                <w:rFonts w:ascii="仿宋_GB2312" w:hAnsi="仿宋_GB2312" w:cs="仿宋_GB2312" w:eastAsia="仿宋_GB2312"/>
              </w:rPr>
              <w:t>①.</w:t>
            </w:r>
            <w:r>
              <w:rPr>
                <w:rFonts w:ascii="仿宋_GB2312" w:hAnsi="仿宋_GB2312" w:cs="仿宋_GB2312" w:eastAsia="仿宋_GB2312"/>
              </w:rPr>
              <w:t>政策衔接性：需严格符合国家、陕西省、渭南市宏观政策导向，并与国家</w:t>
            </w:r>
            <w:r>
              <w:rPr>
                <w:rFonts w:ascii="仿宋_GB2312" w:hAnsi="仿宋_GB2312" w:cs="仿宋_GB2312" w:eastAsia="仿宋_GB2312"/>
              </w:rPr>
              <w:t>、</w:t>
            </w:r>
            <w:r>
              <w:rPr>
                <w:rFonts w:ascii="仿宋_GB2312" w:hAnsi="仿宋_GB2312" w:cs="仿宋_GB2312" w:eastAsia="仿宋_GB2312"/>
              </w:rPr>
              <w:t>陕西省</w:t>
            </w:r>
            <w:r>
              <w:rPr>
                <w:rFonts w:ascii="仿宋_GB2312" w:hAnsi="仿宋_GB2312" w:cs="仿宋_GB2312" w:eastAsia="仿宋_GB2312"/>
              </w:rPr>
              <w:t>、</w:t>
            </w:r>
            <w:r>
              <w:rPr>
                <w:rFonts w:ascii="仿宋_GB2312" w:hAnsi="仿宋_GB2312" w:cs="仿宋_GB2312" w:eastAsia="仿宋_GB2312"/>
              </w:rPr>
              <w:t>渭南市</w:t>
            </w:r>
            <w:r>
              <w:rPr>
                <w:rFonts w:ascii="仿宋_GB2312" w:hAnsi="仿宋_GB2312" w:cs="仿宋_GB2312" w:eastAsia="仿宋_GB2312"/>
              </w:rPr>
              <w:t>“十五五”发展规划等</w:t>
            </w:r>
            <w:r>
              <w:rPr>
                <w:rFonts w:ascii="仿宋_GB2312" w:hAnsi="仿宋_GB2312" w:cs="仿宋_GB2312" w:eastAsia="仿宋_GB2312"/>
              </w:rPr>
              <w:t>充分</w:t>
            </w:r>
            <w:r>
              <w:rPr>
                <w:rFonts w:ascii="仿宋_GB2312" w:hAnsi="仿宋_GB2312" w:cs="仿宋_GB2312" w:eastAsia="仿宋_GB2312"/>
              </w:rPr>
              <w:t>衔接。</w:t>
            </w:r>
          </w:p>
          <w:p>
            <w:pPr>
              <w:pStyle w:val="null3"/>
              <w:jc w:val="both"/>
            </w:pPr>
            <w:r>
              <w:rPr>
                <w:rFonts w:ascii="仿宋_GB2312" w:hAnsi="仿宋_GB2312" w:cs="仿宋_GB2312" w:eastAsia="仿宋_GB2312"/>
              </w:rPr>
              <w:t>②.</w:t>
            </w:r>
            <w:r>
              <w:rPr>
                <w:rFonts w:ascii="仿宋_GB2312" w:hAnsi="仿宋_GB2312" w:cs="仿宋_GB2312" w:eastAsia="仿宋_GB2312"/>
              </w:rPr>
              <w:t>科学性与可操作性：</w:t>
            </w:r>
            <w:r>
              <w:rPr>
                <w:rFonts w:ascii="仿宋_GB2312" w:hAnsi="仿宋_GB2312" w:cs="仿宋_GB2312" w:eastAsia="仿宋_GB2312"/>
              </w:rPr>
              <w:t>数据准确可靠，</w:t>
            </w:r>
            <w:r>
              <w:rPr>
                <w:rFonts w:ascii="仿宋_GB2312" w:hAnsi="仿宋_GB2312" w:cs="仿宋_GB2312" w:eastAsia="仿宋_GB2312"/>
              </w:rPr>
              <w:t>采用数据驱动方法（如统计分析、模型预测），</w:t>
            </w:r>
            <w:r>
              <w:rPr>
                <w:rFonts w:ascii="仿宋_GB2312" w:hAnsi="仿宋_GB2312" w:cs="仿宋_GB2312" w:eastAsia="仿宋_GB2312"/>
              </w:rPr>
              <w:t>合理</w:t>
            </w:r>
            <w:r>
              <w:rPr>
                <w:rFonts w:ascii="仿宋_GB2312" w:hAnsi="仿宋_GB2312" w:cs="仿宋_GB2312" w:eastAsia="仿宋_GB2312"/>
              </w:rPr>
              <w:t>量化主要目标；路径举措需具实践性</w:t>
            </w:r>
            <w:r>
              <w:rPr>
                <w:rFonts w:ascii="仿宋_GB2312" w:hAnsi="仿宋_GB2312" w:cs="仿宋_GB2312" w:eastAsia="仿宋_GB2312"/>
              </w:rPr>
              <w:t>、</w:t>
            </w:r>
            <w:r>
              <w:rPr>
                <w:rFonts w:ascii="仿宋_GB2312" w:hAnsi="仿宋_GB2312" w:cs="仿宋_GB2312" w:eastAsia="仿宋_GB2312"/>
              </w:rPr>
              <w:t>可操作性</w:t>
            </w:r>
            <w:r>
              <w:rPr>
                <w:rFonts w:ascii="仿宋_GB2312" w:hAnsi="仿宋_GB2312" w:cs="仿宋_GB2312" w:eastAsia="仿宋_GB2312"/>
              </w:rPr>
              <w:t>。</w:t>
            </w:r>
          </w:p>
          <w:p>
            <w:pPr>
              <w:pStyle w:val="null3"/>
              <w:jc w:val="both"/>
            </w:pPr>
            <w:r>
              <w:rPr>
                <w:rFonts w:ascii="仿宋_GB2312" w:hAnsi="仿宋_GB2312" w:cs="仿宋_GB2312" w:eastAsia="仿宋_GB2312"/>
              </w:rPr>
              <w:t>③.</w:t>
            </w:r>
            <w:r>
              <w:rPr>
                <w:rFonts w:ascii="仿宋_GB2312" w:hAnsi="仿宋_GB2312" w:cs="仿宋_GB2312" w:eastAsia="仿宋_GB2312"/>
              </w:rPr>
              <w:t>创新性：</w:t>
            </w:r>
            <w:r>
              <w:rPr>
                <w:rFonts w:ascii="仿宋_GB2312" w:hAnsi="仿宋_GB2312" w:cs="仿宋_GB2312" w:eastAsia="仿宋_GB2312"/>
              </w:rPr>
              <w:t>衔接国家</w:t>
            </w:r>
            <w:r>
              <w:rPr>
                <w:rFonts w:ascii="仿宋_GB2312" w:hAnsi="仿宋_GB2312" w:cs="仿宋_GB2312" w:eastAsia="仿宋_GB2312"/>
              </w:rPr>
              <w:t>“双碳”战略，贯彻新发展</w:t>
            </w:r>
            <w:r>
              <w:rPr>
                <w:rFonts w:ascii="仿宋_GB2312" w:hAnsi="仿宋_GB2312" w:cs="仿宋_GB2312" w:eastAsia="仿宋_GB2312"/>
              </w:rPr>
              <w:t>理念</w:t>
            </w:r>
            <w:r>
              <w:rPr>
                <w:rFonts w:ascii="仿宋_GB2312" w:hAnsi="仿宋_GB2312" w:cs="仿宋_GB2312" w:eastAsia="仿宋_GB2312"/>
              </w:rPr>
              <w:t>，</w:t>
            </w:r>
            <w:r>
              <w:rPr>
                <w:rFonts w:ascii="仿宋_GB2312" w:hAnsi="仿宋_GB2312" w:cs="仿宋_GB2312" w:eastAsia="仿宋_GB2312"/>
              </w:rPr>
              <w:t>促进绿色低碳、人工智能、数字经济等领域发展，探索未来产业发展。</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服务要求（执行标准）</w:t>
            </w:r>
          </w:p>
          <w:p>
            <w:pPr>
              <w:pStyle w:val="null3"/>
              <w:jc w:val="both"/>
            </w:pPr>
            <w:r>
              <w:rPr>
                <w:rFonts w:ascii="仿宋_GB2312" w:hAnsi="仿宋_GB2312" w:cs="仿宋_GB2312" w:eastAsia="仿宋_GB2312"/>
              </w:rPr>
              <w:t>①.</w:t>
            </w:r>
            <w:r>
              <w:rPr>
                <w:rFonts w:ascii="仿宋_GB2312" w:hAnsi="仿宋_GB2312" w:cs="仿宋_GB2312" w:eastAsia="仿宋_GB2312"/>
              </w:rPr>
              <w:t>团队配置：</w:t>
            </w:r>
            <w:r>
              <w:rPr>
                <w:rFonts w:ascii="仿宋_GB2312" w:hAnsi="仿宋_GB2312" w:cs="仿宋_GB2312" w:eastAsia="仿宋_GB2312"/>
              </w:rPr>
              <w:t>供应商组建专业团队，包括项目负责人</w:t>
            </w:r>
            <w:r>
              <w:rPr>
                <w:rFonts w:ascii="仿宋_GB2312" w:hAnsi="仿宋_GB2312" w:cs="仿宋_GB2312" w:eastAsia="仿宋_GB2312"/>
              </w:rPr>
              <w:t>1名（中级及以上职称，具有注册咨询工程师（投资）或注册城乡规划师执业资格，且参与过“十五五”规划前期课题或纲要编制工作）、核心成员不少于10人（中级及以上职称，具有农业林业、水利水电、石化化工医药等专业技术人员，擅长数据收集、处理、战略设计等）、专家支持（建立了专家库）。</w:t>
            </w:r>
          </w:p>
          <w:p>
            <w:pPr>
              <w:pStyle w:val="null3"/>
              <w:jc w:val="both"/>
            </w:pPr>
            <w:r>
              <w:rPr>
                <w:rFonts w:ascii="仿宋_GB2312" w:hAnsi="仿宋_GB2312" w:cs="仿宋_GB2312" w:eastAsia="仿宋_GB2312"/>
              </w:rPr>
              <w:t>②.</w:t>
            </w:r>
            <w:r>
              <w:rPr>
                <w:rFonts w:ascii="仿宋_GB2312" w:hAnsi="仿宋_GB2312" w:cs="仿宋_GB2312" w:eastAsia="仿宋_GB2312"/>
              </w:rPr>
              <w:t>保密与合规：严格遵守国家保密</w:t>
            </w:r>
            <w:r>
              <w:rPr>
                <w:rFonts w:ascii="仿宋_GB2312" w:hAnsi="仿宋_GB2312" w:cs="仿宋_GB2312" w:eastAsia="仿宋_GB2312"/>
              </w:rPr>
              <w:t>法律法规</w:t>
            </w:r>
            <w:r>
              <w:rPr>
                <w:rFonts w:ascii="仿宋_GB2312" w:hAnsi="仿宋_GB2312" w:cs="仿宋_GB2312" w:eastAsia="仿宋_GB2312"/>
              </w:rPr>
              <w:t>，未经</w:t>
            </w:r>
            <w:r>
              <w:rPr>
                <w:rFonts w:ascii="仿宋_GB2312" w:hAnsi="仿宋_GB2312" w:cs="仿宋_GB2312" w:eastAsia="仿宋_GB2312"/>
              </w:rPr>
              <w:t>采购人同意，关于本项目的任何情况及</w:t>
            </w:r>
            <w:r>
              <w:rPr>
                <w:rFonts w:ascii="仿宋_GB2312" w:hAnsi="仿宋_GB2312" w:cs="仿宋_GB2312" w:eastAsia="仿宋_GB2312"/>
              </w:rPr>
              <w:t>数据不得</w:t>
            </w:r>
            <w:r>
              <w:rPr>
                <w:rFonts w:ascii="仿宋_GB2312" w:hAnsi="仿宋_GB2312" w:cs="仿宋_GB2312" w:eastAsia="仿宋_GB2312"/>
              </w:rPr>
              <w:t>私自对外发布或散播。</w:t>
            </w:r>
          </w:p>
          <w:p>
            <w:pPr>
              <w:pStyle w:val="null3"/>
              <w:jc w:val="both"/>
            </w:pPr>
            <w:r>
              <w:rPr>
                <w:rFonts w:ascii="仿宋_GB2312" w:hAnsi="仿宋_GB2312" w:cs="仿宋_GB2312" w:eastAsia="仿宋_GB2312"/>
              </w:rPr>
              <w:t>③.</w:t>
            </w:r>
            <w:r>
              <w:rPr>
                <w:rFonts w:ascii="仿宋_GB2312" w:hAnsi="仿宋_GB2312" w:cs="仿宋_GB2312" w:eastAsia="仿宋_GB2312"/>
              </w:rPr>
              <w:t>履约保障：制定详细工作计划（含风险管理预案）；需配合现场调研、汇报会议</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质量验收要求</w:t>
            </w:r>
          </w:p>
          <w:p>
            <w:pPr>
              <w:pStyle w:val="null3"/>
              <w:jc w:val="both"/>
            </w:pPr>
            <w:r>
              <w:rPr>
                <w:rFonts w:ascii="仿宋_GB2312" w:hAnsi="仿宋_GB2312" w:cs="仿宋_GB2312" w:eastAsia="仿宋_GB2312"/>
              </w:rPr>
              <w:t>①.</w:t>
            </w:r>
            <w:r>
              <w:rPr>
                <w:rFonts w:ascii="仿宋_GB2312" w:hAnsi="仿宋_GB2312" w:cs="仿宋_GB2312" w:eastAsia="仿宋_GB2312"/>
              </w:rPr>
              <w:t>验收标准：需符合</w:t>
            </w:r>
            <w:r>
              <w:rPr>
                <w:rFonts w:ascii="仿宋_GB2312" w:hAnsi="仿宋_GB2312" w:cs="仿宋_GB2312" w:eastAsia="仿宋_GB2312"/>
              </w:rPr>
              <w:t>国家、地方和行业标准及现行有关</w:t>
            </w:r>
            <w:r>
              <w:rPr>
                <w:rFonts w:ascii="仿宋_GB2312" w:hAnsi="仿宋_GB2312" w:cs="仿宋_GB2312" w:eastAsia="仿宋_GB2312"/>
              </w:rPr>
              <w:t>规范</w:t>
            </w:r>
            <w:r>
              <w:rPr>
                <w:rFonts w:ascii="仿宋_GB2312" w:hAnsi="仿宋_GB2312" w:cs="仿宋_GB2312" w:eastAsia="仿宋_GB2312"/>
              </w:rPr>
              <w:t>标准，</w:t>
            </w:r>
            <w:r>
              <w:rPr>
                <w:rFonts w:ascii="仿宋_GB2312" w:hAnsi="仿宋_GB2312" w:cs="仿宋_GB2312" w:eastAsia="仿宋_GB2312"/>
              </w:rPr>
              <w:t>成果</w:t>
            </w:r>
            <w:r>
              <w:rPr>
                <w:rFonts w:ascii="仿宋_GB2312" w:hAnsi="仿宋_GB2312" w:cs="仿宋_GB2312" w:eastAsia="仿宋_GB2312"/>
              </w:rPr>
              <w:t>须经</w:t>
            </w:r>
            <w:r>
              <w:rPr>
                <w:rFonts w:ascii="仿宋_GB2312" w:hAnsi="仿宋_GB2312" w:cs="仿宋_GB2312" w:eastAsia="仿宋_GB2312"/>
              </w:rPr>
              <w:t>蒲城县</w:t>
            </w:r>
            <w:r>
              <w:rPr>
                <w:rFonts w:ascii="仿宋_GB2312" w:hAnsi="仿宋_GB2312" w:cs="仿宋_GB2312" w:eastAsia="仿宋_GB2312"/>
              </w:rPr>
              <w:t>人民代表大会</w:t>
            </w:r>
            <w:r>
              <w:rPr>
                <w:rFonts w:ascii="仿宋_GB2312" w:hAnsi="仿宋_GB2312" w:cs="仿宋_GB2312" w:eastAsia="仿宋_GB2312"/>
              </w:rPr>
              <w:t>审议通过</w:t>
            </w:r>
            <w:r>
              <w:rPr>
                <w:rFonts w:ascii="仿宋_GB2312" w:hAnsi="仿宋_GB2312" w:cs="仿宋_GB2312" w:eastAsia="仿宋_GB2312"/>
              </w:rPr>
              <w:t>。</w:t>
            </w:r>
          </w:p>
          <w:p>
            <w:pPr>
              <w:pStyle w:val="null3"/>
            </w:pPr>
            <w:r>
              <w:rPr>
                <w:rFonts w:ascii="仿宋_GB2312" w:hAnsi="仿宋_GB2312" w:cs="仿宋_GB2312" w:eastAsia="仿宋_GB2312"/>
                <w:sz w:val="21"/>
                <w:color w:val="000000"/>
              </w:rPr>
              <w:t>②.</w:t>
            </w:r>
            <w:r>
              <w:rPr>
                <w:rFonts w:ascii="仿宋_GB2312" w:hAnsi="仿宋_GB2312" w:cs="仿宋_GB2312" w:eastAsia="仿宋_GB2312"/>
                <w:sz w:val="21"/>
                <w:color w:val="000000"/>
              </w:rPr>
              <w:t>验收程序：由采购人</w:t>
            </w:r>
            <w:r>
              <w:rPr>
                <w:rFonts w:ascii="仿宋_GB2312" w:hAnsi="仿宋_GB2312" w:cs="仿宋_GB2312" w:eastAsia="仿宋_GB2312"/>
                <w:sz w:val="21"/>
                <w:color w:val="000000"/>
              </w:rPr>
              <w:t>直接或委托第三方</w:t>
            </w:r>
            <w:r>
              <w:rPr>
                <w:rFonts w:ascii="仿宋_GB2312" w:hAnsi="仿宋_GB2312" w:cs="仿宋_GB2312" w:eastAsia="仿宋_GB2312"/>
                <w:sz w:val="21"/>
                <w:color w:val="000000"/>
              </w:rPr>
              <w:t>组织</w:t>
            </w:r>
            <w:r>
              <w:rPr>
                <w:rFonts w:ascii="仿宋_GB2312" w:hAnsi="仿宋_GB2312" w:cs="仿宋_GB2312" w:eastAsia="仿宋_GB2312"/>
                <w:sz w:val="21"/>
                <w:color w:val="000000"/>
              </w:rPr>
              <w:t>县域发展规划</w:t>
            </w:r>
            <w:r>
              <w:rPr>
                <w:rFonts w:ascii="仿宋_GB2312" w:hAnsi="仿宋_GB2312" w:cs="仿宋_GB2312" w:eastAsia="仿宋_GB2312"/>
                <w:sz w:val="21"/>
                <w:color w:val="000000"/>
              </w:rPr>
              <w:t>专家组验收。</w:t>
            </w:r>
          </w:p>
          <w:p>
            <w:pPr>
              <w:pStyle w:val="null3"/>
            </w:pPr>
            <w:r>
              <w:rPr>
                <w:rFonts w:ascii="仿宋_GB2312" w:hAnsi="仿宋_GB2312" w:cs="仿宋_GB2312" w:eastAsia="仿宋_GB2312"/>
              </w:rPr>
              <w:t>5、</w:t>
            </w:r>
            <w:r>
              <w:rPr>
                <w:rFonts w:ascii="仿宋_GB2312" w:hAnsi="仿宋_GB2312" w:cs="仿宋_GB2312" w:eastAsia="仿宋_GB2312"/>
                <w:sz w:val="21"/>
                <w:color w:val="000000"/>
              </w:rPr>
              <w:t>支付方式：</w:t>
            </w:r>
          </w:p>
          <w:p>
            <w:pPr>
              <w:pStyle w:val="null3"/>
              <w:jc w:val="both"/>
            </w:pPr>
            <w:r>
              <w:rPr>
                <w:rFonts w:ascii="仿宋_GB2312" w:hAnsi="仿宋_GB2312" w:cs="仿宋_GB2312" w:eastAsia="仿宋_GB2312"/>
              </w:rPr>
              <w:t>（</w:t>
            </w:r>
            <w:r>
              <w:rPr>
                <w:rFonts w:ascii="仿宋_GB2312" w:hAnsi="仿宋_GB2312" w:cs="仿宋_GB2312" w:eastAsia="仿宋_GB2312"/>
              </w:rPr>
              <w:t>1）合同签订后，甲方在收到乙方开具发票后向乙方支付40%合同额。</w:t>
            </w:r>
          </w:p>
          <w:p>
            <w:pPr>
              <w:pStyle w:val="null3"/>
              <w:jc w:val="both"/>
            </w:pPr>
            <w:r>
              <w:rPr>
                <w:rFonts w:ascii="仿宋_GB2312" w:hAnsi="仿宋_GB2312" w:cs="仿宋_GB2312" w:eastAsia="仿宋_GB2312"/>
              </w:rPr>
              <w:t>（</w:t>
            </w:r>
            <w:r>
              <w:rPr>
                <w:rFonts w:ascii="仿宋_GB2312" w:hAnsi="仿宋_GB2312" w:cs="仿宋_GB2312" w:eastAsia="仿宋_GB2312"/>
              </w:rPr>
              <w:t>2）乙方完成《蒲城县国民经济和社会发展第十五个五年规划纲要基本思路》，并通过审核。甲方在收到乙方开具发票后向乙方支付30%合同额。</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3）乙方完成《蒲城县国民经济和社会发展第十五个五年规划纲要》，并经审查通过后。甲方在收到乙方开具发票后向乙方支付30%合同额。</w:t>
            </w:r>
          </w:p>
          <w:p>
            <w:pPr>
              <w:pStyle w:val="null3"/>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标的名称：“十五五”重大项目库编制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w:t>
            </w:r>
            <w:r>
              <w:rPr>
                <w:rFonts w:ascii="仿宋_GB2312" w:hAnsi="仿宋_GB2312" w:cs="仿宋_GB2312" w:eastAsia="仿宋_GB2312"/>
                <w:sz w:val="21"/>
                <w:color w:val="000000"/>
              </w:rPr>
              <w:t>采购内容：</w:t>
            </w:r>
            <w:r>
              <w:rPr>
                <w:rFonts w:ascii="仿宋_GB2312" w:hAnsi="仿宋_GB2312" w:cs="仿宋_GB2312" w:eastAsia="仿宋_GB2312"/>
                <w:sz w:val="21"/>
                <w:color w:val="000000"/>
              </w:rPr>
              <w:t>“十五五”重大项目库编制</w:t>
            </w:r>
            <w:r>
              <w:rPr>
                <w:rFonts w:ascii="仿宋_GB2312" w:hAnsi="仿宋_GB2312" w:cs="仿宋_GB2312" w:eastAsia="仿宋_GB2312"/>
                <w:sz w:val="21"/>
                <w:color w:val="000000"/>
              </w:rPr>
              <w:t>。</w:t>
            </w:r>
            <w:r>
              <w:rPr>
                <w:rFonts w:ascii="仿宋_GB2312" w:hAnsi="仿宋_GB2312" w:cs="仿宋_GB2312" w:eastAsia="仿宋_GB2312"/>
                <w:sz w:val="21"/>
                <w:color w:val="000000"/>
              </w:rPr>
              <w:t>成果文件</w:t>
            </w:r>
            <w:r>
              <w:rPr>
                <w:rFonts w:ascii="仿宋_GB2312" w:hAnsi="仿宋_GB2312" w:cs="仿宋_GB2312" w:eastAsia="仿宋_GB2312"/>
                <w:sz w:val="21"/>
                <w:color w:val="000000"/>
              </w:rPr>
              <w:t>为蒲城县</w:t>
            </w:r>
            <w:r>
              <w:rPr>
                <w:rFonts w:ascii="仿宋_GB2312" w:hAnsi="仿宋_GB2312" w:cs="仿宋_GB2312" w:eastAsia="仿宋_GB2312"/>
                <w:sz w:val="21"/>
                <w:color w:val="000000"/>
              </w:rPr>
              <w:t>国民经济和社会发展第十五个五年规划重大项目库</w:t>
            </w:r>
            <w:r>
              <w:rPr>
                <w:rFonts w:ascii="仿宋_GB2312" w:hAnsi="仿宋_GB2312" w:cs="仿宋_GB2312" w:eastAsia="仿宋_GB2312"/>
                <w:sz w:val="21"/>
                <w:color w:val="000000"/>
              </w:rPr>
              <w:t>文本及相关</w:t>
            </w:r>
            <w:r>
              <w:rPr>
                <w:rFonts w:ascii="仿宋_GB2312" w:hAnsi="仿宋_GB2312" w:cs="仿宋_GB2312" w:eastAsia="仿宋_GB2312"/>
                <w:sz w:val="21"/>
                <w:color w:val="000000"/>
              </w:rPr>
              <w:t>解读文件</w:t>
            </w:r>
            <w:r>
              <w:rPr>
                <w:rFonts w:ascii="仿宋_GB2312" w:hAnsi="仿宋_GB2312" w:cs="仿宋_GB2312" w:eastAsia="仿宋_GB2312"/>
                <w:sz w:val="21"/>
                <w:color w:val="000000"/>
              </w:rPr>
              <w:t>，</w:t>
            </w:r>
            <w:r>
              <w:rPr>
                <w:rFonts w:ascii="仿宋_GB2312" w:hAnsi="仿宋_GB2312" w:cs="仿宋_GB2312" w:eastAsia="仿宋_GB2312"/>
                <w:sz w:val="21"/>
                <w:color w:val="000000"/>
              </w:rPr>
              <w:t>并协助完成各项成果的汇报、审查等工作</w:t>
            </w:r>
            <w:r>
              <w:rPr>
                <w:rFonts w:ascii="仿宋_GB2312" w:hAnsi="仿宋_GB2312" w:cs="仿宋_GB2312" w:eastAsia="仿宋_GB2312"/>
                <w:sz w:val="21"/>
                <w:color w:val="000000"/>
              </w:rPr>
              <w:t>。</w:t>
            </w:r>
            <w:r>
              <w:rPr>
                <w:rFonts w:ascii="仿宋_GB2312" w:hAnsi="仿宋_GB2312" w:cs="仿宋_GB2312" w:eastAsia="仿宋_GB2312"/>
                <w:sz w:val="21"/>
                <w:color w:val="000000"/>
              </w:rPr>
              <w:t>项目库要</w:t>
            </w:r>
            <w:r>
              <w:rPr>
                <w:rFonts w:ascii="仿宋_GB2312" w:hAnsi="仿宋_GB2312" w:cs="仿宋_GB2312" w:eastAsia="仿宋_GB2312"/>
                <w:sz w:val="21"/>
                <w:color w:val="000000"/>
              </w:rPr>
              <w:t>涵盖</w:t>
            </w:r>
            <w:r>
              <w:rPr>
                <w:rFonts w:ascii="仿宋_GB2312" w:hAnsi="仿宋_GB2312" w:cs="仿宋_GB2312" w:eastAsia="仿宋_GB2312"/>
                <w:sz w:val="21"/>
                <w:color w:val="000000"/>
              </w:rPr>
              <w:t>支撑完成蒲城县</w:t>
            </w:r>
            <w:r>
              <w:rPr>
                <w:rFonts w:ascii="仿宋_GB2312" w:hAnsi="仿宋_GB2312" w:cs="仿宋_GB2312" w:eastAsia="仿宋_GB2312"/>
                <w:sz w:val="21"/>
                <w:color w:val="000000"/>
              </w:rPr>
              <w:t>“十五五”</w:t>
            </w:r>
            <w:r>
              <w:rPr>
                <w:rFonts w:ascii="仿宋_GB2312" w:hAnsi="仿宋_GB2312" w:cs="仿宋_GB2312" w:eastAsia="仿宋_GB2312"/>
                <w:sz w:val="21"/>
                <w:color w:val="000000"/>
              </w:rPr>
              <w:t>重大战略任务</w:t>
            </w:r>
            <w:r>
              <w:rPr>
                <w:rFonts w:ascii="仿宋_GB2312" w:hAnsi="仿宋_GB2312" w:cs="仿宋_GB2312" w:eastAsia="仿宋_GB2312"/>
                <w:sz w:val="21"/>
                <w:color w:val="000000"/>
              </w:rPr>
              <w:t>的重大工程项目，应匹配蒲城县</w:t>
            </w:r>
            <w:r>
              <w:rPr>
                <w:rFonts w:ascii="仿宋_GB2312" w:hAnsi="仿宋_GB2312" w:cs="仿宋_GB2312" w:eastAsia="仿宋_GB2312"/>
                <w:sz w:val="21"/>
                <w:color w:val="000000"/>
              </w:rPr>
              <w:t>“十五五”发展规划纲要内容、蒲城县资源和要素禀赋、“三区三线”发展空间，科学设置项目类别、投资规模等，能充分衔接国家政策导向和资金投向和陕西省、渭南市的重大项目库。涉及争取政策资金项目保持较高通过率。</w:t>
            </w:r>
          </w:p>
          <w:p>
            <w:pPr>
              <w:pStyle w:val="null3"/>
            </w:pPr>
            <w:r>
              <w:rPr>
                <w:rFonts w:ascii="仿宋_GB2312" w:hAnsi="仿宋_GB2312" w:cs="仿宋_GB2312" w:eastAsia="仿宋_GB2312"/>
              </w:rPr>
              <w:t>2、</w:t>
            </w:r>
            <w:r>
              <w:rPr>
                <w:rFonts w:ascii="仿宋_GB2312" w:hAnsi="仿宋_GB2312" w:cs="仿宋_GB2312" w:eastAsia="仿宋_GB2312"/>
                <w:sz w:val="21"/>
                <w:color w:val="000000"/>
              </w:rPr>
              <w:t>服务内容：</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基础评估服务：总结</w:t>
            </w:r>
            <w:r>
              <w:rPr>
                <w:rFonts w:ascii="仿宋_GB2312" w:hAnsi="仿宋_GB2312" w:cs="仿宋_GB2312" w:eastAsia="仿宋_GB2312"/>
              </w:rPr>
              <w:t>评估</w:t>
            </w:r>
            <w:r>
              <w:rPr>
                <w:rFonts w:ascii="仿宋_GB2312" w:hAnsi="仿宋_GB2312" w:cs="仿宋_GB2312" w:eastAsia="仿宋_GB2312"/>
              </w:rPr>
              <w:t>蒲城县</w:t>
            </w:r>
            <w:r>
              <w:rPr>
                <w:rFonts w:ascii="仿宋_GB2312" w:hAnsi="仿宋_GB2312" w:cs="仿宋_GB2312" w:eastAsia="仿宋_GB2312"/>
              </w:rPr>
              <w:t>“十四五”时期重大项目的完成情况，确保与“十五五”</w:t>
            </w:r>
            <w:r>
              <w:rPr>
                <w:rFonts w:ascii="仿宋_GB2312" w:hAnsi="仿宋_GB2312" w:cs="仿宋_GB2312" w:eastAsia="仿宋_GB2312"/>
              </w:rPr>
              <w:t>重大项目谋划</w:t>
            </w:r>
            <w:r>
              <w:rPr>
                <w:rFonts w:ascii="仿宋_GB2312" w:hAnsi="仿宋_GB2312" w:cs="仿宋_GB2312" w:eastAsia="仿宋_GB2312"/>
              </w:rPr>
              <w:t>有序衔接。</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环境分析服务：研判国内外发展环境（机遇与挑战），结合国家、陕西省、渭南市政策导向，进行</w:t>
            </w:r>
            <w:r>
              <w:rPr>
                <w:rFonts w:ascii="仿宋_GB2312" w:hAnsi="仿宋_GB2312" w:cs="仿宋_GB2312" w:eastAsia="仿宋_GB2312"/>
              </w:rPr>
              <w:t>SWOT分析（优势、劣势、机会、威胁）。</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衔接与论证服务：</w:t>
            </w:r>
            <w:r>
              <w:rPr>
                <w:rFonts w:ascii="仿宋_GB2312" w:hAnsi="仿宋_GB2312" w:cs="仿宋_GB2312" w:eastAsia="仿宋_GB2312"/>
              </w:rPr>
              <w:t>与</w:t>
            </w:r>
            <w:r>
              <w:rPr>
                <w:rFonts w:ascii="仿宋_GB2312" w:hAnsi="仿宋_GB2312" w:cs="仿宋_GB2312" w:eastAsia="仿宋_GB2312"/>
              </w:rPr>
              <w:t>国家、省、市</w:t>
            </w:r>
            <w:r>
              <w:rPr>
                <w:rFonts w:ascii="仿宋_GB2312" w:hAnsi="仿宋_GB2312" w:cs="仿宋_GB2312" w:eastAsia="仿宋_GB2312"/>
              </w:rPr>
              <w:t>政策导向</w:t>
            </w:r>
            <w:r>
              <w:rPr>
                <w:rFonts w:ascii="仿宋_GB2312" w:hAnsi="仿宋_GB2312" w:cs="仿宋_GB2312" w:eastAsia="仿宋_GB2312"/>
              </w:rPr>
              <w:t>紧密衔接</w:t>
            </w:r>
            <w:r>
              <w:rPr>
                <w:rFonts w:ascii="仿宋_GB2312" w:hAnsi="仿宋_GB2312" w:cs="仿宋_GB2312" w:eastAsia="仿宋_GB2312"/>
              </w:rPr>
              <w:t>，</w:t>
            </w:r>
            <w:r>
              <w:rPr>
                <w:rFonts w:ascii="仿宋_GB2312" w:hAnsi="仿宋_GB2312" w:cs="仿宋_GB2312" w:eastAsia="仿宋_GB2312"/>
              </w:rPr>
              <w:t>同时及时衔接蒲城县</w:t>
            </w:r>
            <w:r>
              <w:rPr>
                <w:rFonts w:ascii="仿宋_GB2312" w:hAnsi="仿宋_GB2312" w:cs="仿宋_GB2312" w:eastAsia="仿宋_GB2312"/>
              </w:rPr>
              <w:t>“十五五”</w:t>
            </w:r>
            <w:r>
              <w:rPr>
                <w:rFonts w:ascii="仿宋_GB2312" w:hAnsi="仿宋_GB2312" w:cs="仿宋_GB2312" w:eastAsia="仿宋_GB2312"/>
              </w:rPr>
              <w:t>发展规划文本编制，确保项目库支撑规划任务发展。</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4）重大工程项目服务：需开展重大工程项目谋划储备培训、实地调研、项目评选论证、编制与入库申报、入库项目前期指导。做好与国家、陕西省、渭南市衔接等工作。对“十五五”时期中省预算内投资等资金支持政策开展培训，提升项目申报和资金争取成功率。</w:t>
            </w:r>
          </w:p>
          <w:p>
            <w:pPr>
              <w:pStyle w:val="null3"/>
            </w:pPr>
            <w:r>
              <w:rPr>
                <w:rFonts w:ascii="仿宋_GB2312" w:hAnsi="仿宋_GB2312" w:cs="仿宋_GB2312" w:eastAsia="仿宋_GB2312"/>
              </w:rPr>
              <w:t>3、</w:t>
            </w:r>
            <w:r>
              <w:rPr>
                <w:rFonts w:ascii="仿宋_GB2312" w:hAnsi="仿宋_GB2312" w:cs="仿宋_GB2312" w:eastAsia="仿宋_GB2312"/>
                <w:sz w:val="21"/>
                <w:color w:val="000000"/>
              </w:rPr>
              <w:t>时间要求：</w:t>
            </w:r>
            <w:r>
              <w:rPr>
                <w:rFonts w:ascii="仿宋_GB2312" w:hAnsi="仿宋_GB2312" w:cs="仿宋_GB2312" w:eastAsia="仿宋_GB2312"/>
                <w:sz w:val="21"/>
                <w:color w:val="000000"/>
              </w:rPr>
              <w:t>合同生效之日起至</w:t>
            </w:r>
            <w:r>
              <w:rPr>
                <w:rFonts w:ascii="仿宋_GB2312" w:hAnsi="仿宋_GB2312" w:cs="仿宋_GB2312" w:eastAsia="仿宋_GB2312"/>
                <w:sz w:val="21"/>
                <w:color w:val="000000"/>
              </w:rPr>
              <w:t>2026年</w:t>
            </w:r>
            <w:r>
              <w:rPr>
                <w:rFonts w:ascii="仿宋_GB2312" w:hAnsi="仿宋_GB2312" w:cs="仿宋_GB2312" w:eastAsia="仿宋_GB2312"/>
                <w:sz w:val="21"/>
                <w:color w:val="000000"/>
              </w:rPr>
              <w:t>12月</w:t>
            </w:r>
            <w:r>
              <w:rPr>
                <w:rFonts w:ascii="仿宋_GB2312" w:hAnsi="仿宋_GB2312" w:cs="仿宋_GB2312" w:eastAsia="仿宋_GB2312"/>
                <w:sz w:val="21"/>
                <w:color w:val="000000"/>
              </w:rPr>
              <w:t>，确保蒲城县</w:t>
            </w:r>
            <w:r>
              <w:rPr>
                <w:rFonts w:ascii="仿宋_GB2312" w:hAnsi="仿宋_GB2312" w:cs="仿宋_GB2312" w:eastAsia="仿宋_GB2312"/>
                <w:sz w:val="21"/>
                <w:color w:val="000000"/>
              </w:rPr>
              <w:t>“十五五”重大项目库编制</w:t>
            </w:r>
            <w:r>
              <w:rPr>
                <w:rFonts w:ascii="仿宋_GB2312" w:hAnsi="仿宋_GB2312" w:cs="仿宋_GB2312" w:eastAsia="仿宋_GB2312"/>
                <w:sz w:val="21"/>
                <w:color w:val="000000"/>
              </w:rPr>
              <w:t>成果</w:t>
            </w:r>
            <w:r>
              <w:rPr>
                <w:rFonts w:ascii="仿宋_GB2312" w:hAnsi="仿宋_GB2312" w:cs="仿宋_GB2312" w:eastAsia="仿宋_GB2312"/>
                <w:sz w:val="21"/>
                <w:color w:val="000000"/>
              </w:rPr>
              <w:t>通过</w:t>
            </w:r>
            <w:r>
              <w:rPr>
                <w:rFonts w:ascii="仿宋_GB2312" w:hAnsi="仿宋_GB2312" w:cs="仿宋_GB2312" w:eastAsia="仿宋_GB2312"/>
                <w:sz w:val="21"/>
                <w:color w:val="000000"/>
              </w:rPr>
              <w:t>蒲城县人民代表</w:t>
            </w:r>
            <w:r>
              <w:rPr>
                <w:rFonts w:ascii="仿宋_GB2312" w:hAnsi="仿宋_GB2312" w:cs="仿宋_GB2312" w:eastAsia="仿宋_GB2312"/>
                <w:sz w:val="21"/>
                <w:color w:val="000000"/>
              </w:rPr>
              <w:t>大</w:t>
            </w:r>
            <w:r>
              <w:rPr>
                <w:rFonts w:ascii="仿宋_GB2312" w:hAnsi="仿宋_GB2312" w:cs="仿宋_GB2312" w:eastAsia="仿宋_GB2312"/>
                <w:sz w:val="21"/>
                <w:color w:val="000000"/>
              </w:rPr>
              <w:t>会</w:t>
            </w:r>
            <w:r>
              <w:rPr>
                <w:rFonts w:ascii="仿宋_GB2312" w:hAnsi="仿宋_GB2312" w:cs="仿宋_GB2312" w:eastAsia="仿宋_GB2312"/>
                <w:sz w:val="21"/>
                <w:color w:val="000000"/>
              </w:rPr>
              <w:t>审议，</w:t>
            </w:r>
            <w:r>
              <w:rPr>
                <w:rFonts w:ascii="仿宋_GB2312" w:hAnsi="仿宋_GB2312" w:cs="仿宋_GB2312" w:eastAsia="仿宋_GB2312"/>
                <w:sz w:val="21"/>
                <w:color w:val="000000"/>
              </w:rPr>
              <w:t>并根据中省</w:t>
            </w:r>
            <w:r>
              <w:rPr>
                <w:rFonts w:ascii="仿宋_GB2312" w:hAnsi="仿宋_GB2312" w:cs="仿宋_GB2312" w:eastAsia="仿宋_GB2312"/>
                <w:sz w:val="21"/>
                <w:color w:val="000000"/>
              </w:rPr>
              <w:t>“十五五”政策方向动态优化调整。</w:t>
            </w:r>
          </w:p>
          <w:p>
            <w:pPr>
              <w:pStyle w:val="null3"/>
            </w:pPr>
            <w:r>
              <w:rPr>
                <w:rFonts w:ascii="仿宋_GB2312" w:hAnsi="仿宋_GB2312" w:cs="仿宋_GB2312" w:eastAsia="仿宋_GB2312"/>
              </w:rPr>
              <w:t>4、</w:t>
            </w:r>
            <w:r>
              <w:rPr>
                <w:rFonts w:ascii="仿宋_GB2312" w:hAnsi="仿宋_GB2312" w:cs="仿宋_GB2312" w:eastAsia="仿宋_GB2312"/>
                <w:sz w:val="21"/>
                <w:color w:val="000000"/>
              </w:rPr>
              <w:t>其他要求：</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、具体要求</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技术要求（内容质量）</w:t>
            </w:r>
          </w:p>
          <w:p>
            <w:pPr>
              <w:pStyle w:val="null3"/>
              <w:jc w:val="both"/>
            </w:pPr>
            <w:r>
              <w:rPr>
                <w:rFonts w:ascii="仿宋_GB2312" w:hAnsi="仿宋_GB2312" w:cs="仿宋_GB2312" w:eastAsia="仿宋_GB2312"/>
              </w:rPr>
              <w:t>①.</w:t>
            </w:r>
            <w:r>
              <w:rPr>
                <w:rFonts w:ascii="仿宋_GB2312" w:hAnsi="仿宋_GB2312" w:cs="仿宋_GB2312" w:eastAsia="仿宋_GB2312"/>
              </w:rPr>
              <w:t>政策衔接性：需严格符合国家、陕西省、渭南市宏观政策导向，并与国家</w:t>
            </w:r>
            <w:r>
              <w:rPr>
                <w:rFonts w:ascii="仿宋_GB2312" w:hAnsi="仿宋_GB2312" w:cs="仿宋_GB2312" w:eastAsia="仿宋_GB2312"/>
              </w:rPr>
              <w:t>、</w:t>
            </w:r>
            <w:r>
              <w:rPr>
                <w:rFonts w:ascii="仿宋_GB2312" w:hAnsi="仿宋_GB2312" w:cs="仿宋_GB2312" w:eastAsia="仿宋_GB2312"/>
              </w:rPr>
              <w:t>陕西省</w:t>
            </w:r>
            <w:r>
              <w:rPr>
                <w:rFonts w:ascii="仿宋_GB2312" w:hAnsi="仿宋_GB2312" w:cs="仿宋_GB2312" w:eastAsia="仿宋_GB2312"/>
              </w:rPr>
              <w:t>、</w:t>
            </w:r>
            <w:r>
              <w:rPr>
                <w:rFonts w:ascii="仿宋_GB2312" w:hAnsi="仿宋_GB2312" w:cs="仿宋_GB2312" w:eastAsia="仿宋_GB2312"/>
              </w:rPr>
              <w:t>渭南市</w:t>
            </w:r>
            <w:r>
              <w:rPr>
                <w:rFonts w:ascii="仿宋_GB2312" w:hAnsi="仿宋_GB2312" w:cs="仿宋_GB2312" w:eastAsia="仿宋_GB2312"/>
              </w:rPr>
              <w:t>“十五五”发展规划等</w:t>
            </w:r>
            <w:r>
              <w:rPr>
                <w:rFonts w:ascii="仿宋_GB2312" w:hAnsi="仿宋_GB2312" w:cs="仿宋_GB2312" w:eastAsia="仿宋_GB2312"/>
              </w:rPr>
              <w:t>充分</w:t>
            </w:r>
            <w:r>
              <w:rPr>
                <w:rFonts w:ascii="仿宋_GB2312" w:hAnsi="仿宋_GB2312" w:cs="仿宋_GB2312" w:eastAsia="仿宋_GB2312"/>
              </w:rPr>
              <w:t>衔接。</w:t>
            </w:r>
          </w:p>
          <w:p>
            <w:pPr>
              <w:pStyle w:val="null3"/>
              <w:jc w:val="both"/>
            </w:pPr>
            <w:r>
              <w:rPr>
                <w:rFonts w:ascii="仿宋_GB2312" w:hAnsi="仿宋_GB2312" w:cs="仿宋_GB2312" w:eastAsia="仿宋_GB2312"/>
              </w:rPr>
              <w:t>②.</w:t>
            </w:r>
            <w:r>
              <w:rPr>
                <w:rFonts w:ascii="仿宋_GB2312" w:hAnsi="仿宋_GB2312" w:cs="仿宋_GB2312" w:eastAsia="仿宋_GB2312"/>
              </w:rPr>
              <w:t>科学性与可操作性：</w:t>
            </w:r>
            <w:r>
              <w:rPr>
                <w:rFonts w:ascii="仿宋_GB2312" w:hAnsi="仿宋_GB2312" w:cs="仿宋_GB2312" w:eastAsia="仿宋_GB2312"/>
              </w:rPr>
              <w:t>数据准确可靠，</w:t>
            </w:r>
            <w:r>
              <w:rPr>
                <w:rFonts w:ascii="仿宋_GB2312" w:hAnsi="仿宋_GB2312" w:cs="仿宋_GB2312" w:eastAsia="仿宋_GB2312"/>
              </w:rPr>
              <w:t>采用数据驱动方法（如统计分析、模型预测），</w:t>
            </w:r>
            <w:r>
              <w:rPr>
                <w:rFonts w:ascii="仿宋_GB2312" w:hAnsi="仿宋_GB2312" w:cs="仿宋_GB2312" w:eastAsia="仿宋_GB2312"/>
              </w:rPr>
              <w:t>合理</w:t>
            </w:r>
            <w:r>
              <w:rPr>
                <w:rFonts w:ascii="仿宋_GB2312" w:hAnsi="仿宋_GB2312" w:cs="仿宋_GB2312" w:eastAsia="仿宋_GB2312"/>
              </w:rPr>
              <w:t>量化主要目标；路径举措需具实践性</w:t>
            </w:r>
            <w:r>
              <w:rPr>
                <w:rFonts w:ascii="仿宋_GB2312" w:hAnsi="仿宋_GB2312" w:cs="仿宋_GB2312" w:eastAsia="仿宋_GB2312"/>
              </w:rPr>
              <w:t>、</w:t>
            </w:r>
            <w:r>
              <w:rPr>
                <w:rFonts w:ascii="仿宋_GB2312" w:hAnsi="仿宋_GB2312" w:cs="仿宋_GB2312" w:eastAsia="仿宋_GB2312"/>
              </w:rPr>
              <w:t>可操作性</w:t>
            </w:r>
            <w:r>
              <w:rPr>
                <w:rFonts w:ascii="仿宋_GB2312" w:hAnsi="仿宋_GB2312" w:cs="仿宋_GB2312" w:eastAsia="仿宋_GB2312"/>
              </w:rPr>
              <w:t>。</w:t>
            </w:r>
          </w:p>
          <w:p>
            <w:pPr>
              <w:pStyle w:val="null3"/>
              <w:jc w:val="both"/>
            </w:pPr>
            <w:r>
              <w:rPr>
                <w:rFonts w:ascii="仿宋_GB2312" w:hAnsi="仿宋_GB2312" w:cs="仿宋_GB2312" w:eastAsia="仿宋_GB2312"/>
              </w:rPr>
              <w:t>③.</w:t>
            </w:r>
            <w:r>
              <w:rPr>
                <w:rFonts w:ascii="仿宋_GB2312" w:hAnsi="仿宋_GB2312" w:cs="仿宋_GB2312" w:eastAsia="仿宋_GB2312"/>
              </w:rPr>
              <w:t>创新性：</w:t>
            </w:r>
            <w:r>
              <w:rPr>
                <w:rFonts w:ascii="仿宋_GB2312" w:hAnsi="仿宋_GB2312" w:cs="仿宋_GB2312" w:eastAsia="仿宋_GB2312"/>
              </w:rPr>
              <w:t>衔接国家</w:t>
            </w:r>
            <w:r>
              <w:rPr>
                <w:rFonts w:ascii="仿宋_GB2312" w:hAnsi="仿宋_GB2312" w:cs="仿宋_GB2312" w:eastAsia="仿宋_GB2312"/>
              </w:rPr>
              <w:t>“双碳”战略，贯彻新发展</w:t>
            </w:r>
            <w:r>
              <w:rPr>
                <w:rFonts w:ascii="仿宋_GB2312" w:hAnsi="仿宋_GB2312" w:cs="仿宋_GB2312" w:eastAsia="仿宋_GB2312"/>
              </w:rPr>
              <w:t>理念</w:t>
            </w:r>
            <w:r>
              <w:rPr>
                <w:rFonts w:ascii="仿宋_GB2312" w:hAnsi="仿宋_GB2312" w:cs="仿宋_GB2312" w:eastAsia="仿宋_GB2312"/>
              </w:rPr>
              <w:t>，</w:t>
            </w:r>
            <w:r>
              <w:rPr>
                <w:rFonts w:ascii="仿宋_GB2312" w:hAnsi="仿宋_GB2312" w:cs="仿宋_GB2312" w:eastAsia="仿宋_GB2312"/>
              </w:rPr>
              <w:t>促进绿色低碳、人工智能、数字经济等领域发展，探索未来产业发展。</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服务要求（执行标准）</w:t>
            </w:r>
          </w:p>
          <w:p>
            <w:pPr>
              <w:pStyle w:val="null3"/>
              <w:jc w:val="both"/>
            </w:pPr>
            <w:r>
              <w:rPr>
                <w:rFonts w:ascii="仿宋_GB2312" w:hAnsi="仿宋_GB2312" w:cs="仿宋_GB2312" w:eastAsia="仿宋_GB2312"/>
              </w:rPr>
              <w:t>①.</w:t>
            </w:r>
            <w:r>
              <w:rPr>
                <w:rFonts w:ascii="仿宋_GB2312" w:hAnsi="仿宋_GB2312" w:cs="仿宋_GB2312" w:eastAsia="仿宋_GB2312"/>
              </w:rPr>
              <w:t>团队配置：</w:t>
            </w:r>
            <w:r>
              <w:rPr>
                <w:rFonts w:ascii="仿宋_GB2312" w:hAnsi="仿宋_GB2312" w:cs="仿宋_GB2312" w:eastAsia="仿宋_GB2312"/>
              </w:rPr>
              <w:t>供应商组建专业团队，包括项目负责人</w:t>
            </w:r>
            <w:r>
              <w:rPr>
                <w:rFonts w:ascii="仿宋_GB2312" w:hAnsi="仿宋_GB2312" w:cs="仿宋_GB2312" w:eastAsia="仿宋_GB2312"/>
              </w:rPr>
              <w:t>1名（中级及以上职称，具有注册咨询工程师（投资）或注册城乡规划师执业资格，且参与过“十五五”规划前期课题或纲要编制工作）、核心成员不少于5人（中级及以上职称，具有农业林业、水利水电、石化化工医药等专业技术人员，擅长数据收集、处理、战略设计等）、专家支持（建立了专家库）。</w:t>
            </w:r>
          </w:p>
          <w:p>
            <w:pPr>
              <w:pStyle w:val="null3"/>
              <w:jc w:val="both"/>
            </w:pPr>
            <w:r>
              <w:rPr>
                <w:rFonts w:ascii="仿宋_GB2312" w:hAnsi="仿宋_GB2312" w:cs="仿宋_GB2312" w:eastAsia="仿宋_GB2312"/>
              </w:rPr>
              <w:t>②.</w:t>
            </w:r>
            <w:r>
              <w:rPr>
                <w:rFonts w:ascii="仿宋_GB2312" w:hAnsi="仿宋_GB2312" w:cs="仿宋_GB2312" w:eastAsia="仿宋_GB2312"/>
              </w:rPr>
              <w:t>保密与合规：严格遵守国家保密</w:t>
            </w:r>
            <w:r>
              <w:rPr>
                <w:rFonts w:ascii="仿宋_GB2312" w:hAnsi="仿宋_GB2312" w:cs="仿宋_GB2312" w:eastAsia="仿宋_GB2312"/>
              </w:rPr>
              <w:t>法律法规</w:t>
            </w:r>
            <w:r>
              <w:rPr>
                <w:rFonts w:ascii="仿宋_GB2312" w:hAnsi="仿宋_GB2312" w:cs="仿宋_GB2312" w:eastAsia="仿宋_GB2312"/>
              </w:rPr>
              <w:t>，未经</w:t>
            </w:r>
            <w:r>
              <w:rPr>
                <w:rFonts w:ascii="仿宋_GB2312" w:hAnsi="仿宋_GB2312" w:cs="仿宋_GB2312" w:eastAsia="仿宋_GB2312"/>
              </w:rPr>
              <w:t>采购人同意，关于本项目的任何情况及</w:t>
            </w:r>
            <w:r>
              <w:rPr>
                <w:rFonts w:ascii="仿宋_GB2312" w:hAnsi="仿宋_GB2312" w:cs="仿宋_GB2312" w:eastAsia="仿宋_GB2312"/>
              </w:rPr>
              <w:t>数据不得</w:t>
            </w:r>
            <w:r>
              <w:rPr>
                <w:rFonts w:ascii="仿宋_GB2312" w:hAnsi="仿宋_GB2312" w:cs="仿宋_GB2312" w:eastAsia="仿宋_GB2312"/>
              </w:rPr>
              <w:t>私自对外发布或散播。</w:t>
            </w:r>
          </w:p>
          <w:p>
            <w:pPr>
              <w:pStyle w:val="null3"/>
              <w:jc w:val="both"/>
            </w:pPr>
            <w:r>
              <w:rPr>
                <w:rFonts w:ascii="仿宋_GB2312" w:hAnsi="仿宋_GB2312" w:cs="仿宋_GB2312" w:eastAsia="仿宋_GB2312"/>
              </w:rPr>
              <w:t>③.</w:t>
            </w:r>
            <w:r>
              <w:rPr>
                <w:rFonts w:ascii="仿宋_GB2312" w:hAnsi="仿宋_GB2312" w:cs="仿宋_GB2312" w:eastAsia="仿宋_GB2312"/>
              </w:rPr>
              <w:t>履约保障：制定详细工作计划（含风险管理预案）；需配合现场调研、汇报会议</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质量验收要求</w:t>
            </w:r>
          </w:p>
          <w:p>
            <w:pPr>
              <w:pStyle w:val="null3"/>
              <w:jc w:val="both"/>
            </w:pPr>
            <w:r>
              <w:rPr>
                <w:rFonts w:ascii="仿宋_GB2312" w:hAnsi="仿宋_GB2312" w:cs="仿宋_GB2312" w:eastAsia="仿宋_GB2312"/>
              </w:rPr>
              <w:t>①.</w:t>
            </w:r>
            <w:r>
              <w:rPr>
                <w:rFonts w:ascii="仿宋_GB2312" w:hAnsi="仿宋_GB2312" w:cs="仿宋_GB2312" w:eastAsia="仿宋_GB2312"/>
              </w:rPr>
              <w:t>验收标准：需符合</w:t>
            </w:r>
            <w:r>
              <w:rPr>
                <w:rFonts w:ascii="仿宋_GB2312" w:hAnsi="仿宋_GB2312" w:cs="仿宋_GB2312" w:eastAsia="仿宋_GB2312"/>
              </w:rPr>
              <w:t>国家、地方和行业标准及现行有关</w:t>
            </w:r>
            <w:r>
              <w:rPr>
                <w:rFonts w:ascii="仿宋_GB2312" w:hAnsi="仿宋_GB2312" w:cs="仿宋_GB2312" w:eastAsia="仿宋_GB2312"/>
              </w:rPr>
              <w:t>规范</w:t>
            </w:r>
            <w:r>
              <w:rPr>
                <w:rFonts w:ascii="仿宋_GB2312" w:hAnsi="仿宋_GB2312" w:cs="仿宋_GB2312" w:eastAsia="仿宋_GB2312"/>
              </w:rPr>
              <w:t>标准，</w:t>
            </w:r>
            <w:r>
              <w:rPr>
                <w:rFonts w:ascii="仿宋_GB2312" w:hAnsi="仿宋_GB2312" w:cs="仿宋_GB2312" w:eastAsia="仿宋_GB2312"/>
              </w:rPr>
              <w:t>成果</w:t>
            </w:r>
            <w:r>
              <w:rPr>
                <w:rFonts w:ascii="仿宋_GB2312" w:hAnsi="仿宋_GB2312" w:cs="仿宋_GB2312" w:eastAsia="仿宋_GB2312"/>
              </w:rPr>
              <w:t>须经</w:t>
            </w:r>
            <w:r>
              <w:rPr>
                <w:rFonts w:ascii="仿宋_GB2312" w:hAnsi="仿宋_GB2312" w:cs="仿宋_GB2312" w:eastAsia="仿宋_GB2312"/>
              </w:rPr>
              <w:t>蒲城县</w:t>
            </w:r>
            <w:r>
              <w:rPr>
                <w:rFonts w:ascii="仿宋_GB2312" w:hAnsi="仿宋_GB2312" w:cs="仿宋_GB2312" w:eastAsia="仿宋_GB2312"/>
              </w:rPr>
              <w:t>人民代表大会</w:t>
            </w:r>
            <w:r>
              <w:rPr>
                <w:rFonts w:ascii="仿宋_GB2312" w:hAnsi="仿宋_GB2312" w:cs="仿宋_GB2312" w:eastAsia="仿宋_GB2312"/>
              </w:rPr>
              <w:t>审议通过</w:t>
            </w:r>
            <w:r>
              <w:rPr>
                <w:rFonts w:ascii="仿宋_GB2312" w:hAnsi="仿宋_GB2312" w:cs="仿宋_GB2312" w:eastAsia="仿宋_GB2312"/>
              </w:rPr>
              <w:t>。</w:t>
            </w:r>
          </w:p>
          <w:p>
            <w:pPr>
              <w:pStyle w:val="null3"/>
            </w:pPr>
            <w:r>
              <w:rPr>
                <w:rFonts w:ascii="仿宋_GB2312" w:hAnsi="仿宋_GB2312" w:cs="仿宋_GB2312" w:eastAsia="仿宋_GB2312"/>
                <w:sz w:val="21"/>
                <w:color w:val="000000"/>
              </w:rPr>
              <w:t>②.</w:t>
            </w:r>
            <w:r>
              <w:rPr>
                <w:rFonts w:ascii="仿宋_GB2312" w:hAnsi="仿宋_GB2312" w:cs="仿宋_GB2312" w:eastAsia="仿宋_GB2312"/>
                <w:sz w:val="21"/>
                <w:color w:val="000000"/>
              </w:rPr>
              <w:t>验收程序：由采购人</w:t>
            </w:r>
            <w:r>
              <w:rPr>
                <w:rFonts w:ascii="仿宋_GB2312" w:hAnsi="仿宋_GB2312" w:cs="仿宋_GB2312" w:eastAsia="仿宋_GB2312"/>
                <w:sz w:val="21"/>
                <w:color w:val="000000"/>
              </w:rPr>
              <w:t>直接或委托第三方</w:t>
            </w:r>
            <w:r>
              <w:rPr>
                <w:rFonts w:ascii="仿宋_GB2312" w:hAnsi="仿宋_GB2312" w:cs="仿宋_GB2312" w:eastAsia="仿宋_GB2312"/>
                <w:sz w:val="21"/>
                <w:color w:val="000000"/>
              </w:rPr>
              <w:t>组织</w:t>
            </w:r>
            <w:r>
              <w:rPr>
                <w:rFonts w:ascii="仿宋_GB2312" w:hAnsi="仿宋_GB2312" w:cs="仿宋_GB2312" w:eastAsia="仿宋_GB2312"/>
                <w:sz w:val="21"/>
                <w:color w:val="000000"/>
              </w:rPr>
              <w:t>县域发展规划</w:t>
            </w:r>
            <w:r>
              <w:rPr>
                <w:rFonts w:ascii="仿宋_GB2312" w:hAnsi="仿宋_GB2312" w:cs="仿宋_GB2312" w:eastAsia="仿宋_GB2312"/>
                <w:sz w:val="21"/>
                <w:color w:val="000000"/>
              </w:rPr>
              <w:t>专家组验收。</w:t>
            </w:r>
          </w:p>
          <w:p>
            <w:pPr>
              <w:pStyle w:val="null3"/>
            </w:pPr>
            <w:r>
              <w:rPr>
                <w:rFonts w:ascii="仿宋_GB2312" w:hAnsi="仿宋_GB2312" w:cs="仿宋_GB2312" w:eastAsia="仿宋_GB2312"/>
              </w:rPr>
              <w:t>5、</w:t>
            </w:r>
            <w:r>
              <w:rPr>
                <w:rFonts w:ascii="仿宋_GB2312" w:hAnsi="仿宋_GB2312" w:cs="仿宋_GB2312" w:eastAsia="仿宋_GB2312"/>
                <w:sz w:val="21"/>
                <w:color w:val="000000"/>
              </w:rPr>
              <w:t>支付方式：</w:t>
            </w:r>
          </w:p>
          <w:p>
            <w:pPr>
              <w:pStyle w:val="null3"/>
              <w:jc w:val="both"/>
            </w:pPr>
            <w:r>
              <w:rPr>
                <w:rFonts w:ascii="仿宋_GB2312" w:hAnsi="仿宋_GB2312" w:cs="仿宋_GB2312" w:eastAsia="仿宋_GB2312"/>
              </w:rPr>
              <w:t>（</w:t>
            </w:r>
            <w:r>
              <w:rPr>
                <w:rFonts w:ascii="仿宋_GB2312" w:hAnsi="仿宋_GB2312" w:cs="仿宋_GB2312" w:eastAsia="仿宋_GB2312"/>
              </w:rPr>
              <w:t>1）合同签订后，甲方在收到乙方开具发票后向乙方支付40%合同额。</w:t>
            </w:r>
          </w:p>
          <w:p>
            <w:pPr>
              <w:pStyle w:val="null3"/>
              <w:jc w:val="both"/>
            </w:pPr>
            <w:r>
              <w:rPr>
                <w:rFonts w:ascii="仿宋_GB2312" w:hAnsi="仿宋_GB2312" w:cs="仿宋_GB2312" w:eastAsia="仿宋_GB2312"/>
              </w:rPr>
              <w:t>（</w:t>
            </w:r>
            <w:r>
              <w:rPr>
                <w:rFonts w:ascii="仿宋_GB2312" w:hAnsi="仿宋_GB2312" w:cs="仿宋_GB2312" w:eastAsia="仿宋_GB2312"/>
              </w:rPr>
              <w:t>2）乙方完成《“十五五”规划重大项目库》（初稿），并通过审核。甲方在收到乙方开具发票后向乙方支付30%合同额。</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3）乙方完成《“十五五”规划重大项目库》，并经审查通过后。甲方在收到乙方开具发票后向乙方支付30%合同额。</w:t>
            </w:r>
          </w:p>
          <w:p>
            <w:pPr>
              <w:pStyle w:val="null3"/>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供应商组建专业团队，包括项目负责人1名（中级及以上职称，具有注册咨询工程师（投资）或注册城乡规划师执业资格，且参与过“十五五”规划前期课题或纲要编制工作）、核心成员不少于10人。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组建专业团队，包括项目负责人1名（中级及以上职称，具有注册咨询工程师（投资）或注册城乡规划师执业资格，且参与过“十五五”规划前期课题或纲要编制工作）、核心成员不少于5人（中级及以上职称，具有农业林业、水利水电、石化化工医药等专业技术人员，擅长数据收集、处理、战略设计等）、专家支持（建立了专家库）。</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合同生效之日起至2026年6月，确保蒲城县国民经济和社会发展第十五个五年规划纲要编制成果通过蒲城县人民代表大会审议。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合同生效之日起至2026年12月，确保蒲城县“十五五”重大项目库编制成果通过蒲城县人民代表大会审议，并根据中省“十五五”政策方向动态优化调整。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渭南市蒲城县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渭南市蒲城县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需符合国家、地方和行业标准及现行有关规范标准，成果须经蒲城县人民代表大会审议通过。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需符合国家、地方和行业标准及现行有关规范标准，成果须经蒲城县人民代表大会审议通过。</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合同签订后，甲方在收到乙方开具发票后向乙方支付40%合同额。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乙方完成《蒲城县国民经济和社会发展第十五个五年规划纲要基本思路》，并通过审核。甲方在收到乙方开具发票后向乙方支付30%合同额。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乙方完成《蒲城县国民经济和社会发展第十五个五年规划纲要》，并经审查通过后。甲方在收到乙方开具发票后向乙方支付30%合同额。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合同签订后，甲方在收到乙方开具发票后向乙方支付40%合同额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乙方完成《“十五五”规划重大项目库》（初稿），并通过审核。甲方在收到乙方开具发票后向乙方支付30%合同额。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乙方完成《“十五五”规划重大项目库》，并经审查通过后。甲方在收到乙方开具发票后向乙方支付30%合同额。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以合同签订为准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以合同条签订为准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投标方案.docx 服务内容及服务邀请应答表 投标函 中小企业声明函 陕西省政府采购供应商拒绝政府采购领域商业贿赂承诺书.docx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投标方案.docx 服务内容及服务邀请应答表 投标函 中小企业声明函 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健全的财务会计制度</w:t>
            </w:r>
          </w:p>
        </w:tc>
        <w:tc>
          <w:tcPr>
            <w:tcW w:type="dxa" w:w="3322"/>
          </w:tcPr>
          <w:p>
            <w:pPr>
              <w:pStyle w:val="null3"/>
            </w:pPr>
            <w:r>
              <w:rPr>
                <w:rFonts w:ascii="仿宋_GB2312" w:hAnsi="仿宋_GB2312" w:cs="仿宋_GB2312" w:eastAsia="仿宋_GB2312"/>
              </w:rPr>
              <w:t>提供经审计的2024年度完整的财务报告(成立时间至响应文件递交载止时间不足一年的可提供成立后任意时段的资产负债表)或投标文件递交截止时间前六个月内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税收缴纳证明和社会保障资金缴纳证明</w:t>
            </w:r>
          </w:p>
        </w:tc>
        <w:tc>
          <w:tcPr>
            <w:tcW w:type="dxa" w:w="3322"/>
          </w:tcPr>
          <w:p>
            <w:pPr>
              <w:pStyle w:val="null3"/>
            </w:pPr>
            <w:r>
              <w:rPr>
                <w:rFonts w:ascii="仿宋_GB2312" w:hAnsi="仿宋_GB2312" w:cs="仿宋_GB2312" w:eastAsia="仿宋_GB2312"/>
              </w:rPr>
              <w:t>①税收缴纳证明：提供截止至开标时间前一年内已缴纳的至少一个月的纳税证明或完税证明，依法免税的单位应提供相关证明材料；②社会保障资金缴纳证明：提供截止至开标时间前一年内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提供具有履行合同所必须的设备和专业技术能力的承诺书；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参加投标的，须出具法定代表人身份证明书及身份证两面扫描件加盖公章；法定代表人授权委托代理人参加投标的，须出具法定代表人授权委托书、授权代表在投标前4个月内（不含投标当月）连续3个月由投标供应商缴纳社保证明材料、委托代理人身份证原件及身份证两面扫描件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投标保证金缴纳凭证</w:t>
            </w:r>
          </w:p>
        </w:tc>
        <w:tc>
          <w:tcPr>
            <w:tcW w:type="dxa" w:w="3322"/>
          </w:tcPr>
          <w:p>
            <w:pPr>
              <w:pStyle w:val="null3"/>
            </w:pPr>
            <w:r>
              <w:rPr>
                <w:rFonts w:ascii="仿宋_GB2312" w:hAnsi="仿宋_GB2312" w:cs="仿宋_GB2312" w:eastAsia="仿宋_GB2312"/>
              </w:rPr>
              <w:t>投标保证金缴纳符合要求；</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健全的财务会计制度</w:t>
            </w:r>
          </w:p>
        </w:tc>
        <w:tc>
          <w:tcPr>
            <w:tcW w:type="dxa" w:w="3322"/>
          </w:tcPr>
          <w:p>
            <w:pPr>
              <w:pStyle w:val="null3"/>
            </w:pPr>
            <w:r>
              <w:rPr>
                <w:rFonts w:ascii="仿宋_GB2312" w:hAnsi="仿宋_GB2312" w:cs="仿宋_GB2312" w:eastAsia="仿宋_GB2312"/>
              </w:rPr>
              <w:t>提供经审计的2024年度完整的财务报告(成立时间至响应文件递交载止时间不足一年的可提供成立后任意时段的资产负债表)或投标文件递交截止时间前六个月内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税收缴纳证明和社会保障资金缴纳证明</w:t>
            </w:r>
          </w:p>
        </w:tc>
        <w:tc>
          <w:tcPr>
            <w:tcW w:type="dxa" w:w="3322"/>
          </w:tcPr>
          <w:p>
            <w:pPr>
              <w:pStyle w:val="null3"/>
            </w:pPr>
            <w:r>
              <w:rPr>
                <w:rFonts w:ascii="仿宋_GB2312" w:hAnsi="仿宋_GB2312" w:cs="仿宋_GB2312" w:eastAsia="仿宋_GB2312"/>
              </w:rPr>
              <w:t>①税收缴纳证明：提供截止至开标时间前一年内已缴纳的至少一个月的纳税证明或完税证明，依法免税的单位应提供相关证明材料；②社会保障资金缴纳证明：提供截止至开标时间前一年内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提供具有履行合同所必须的设备和专业技术能力的承诺书；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参加投标的，须出具法定代表人身份证明书及身份证两面扫描件加盖公章；法定代表人授权委托代理人参加投标的，须出具法定代表人授权委托书、授权代表在投标前4个月内（不含投标当月）连续3个月由投标供应商缴纳社保证明材料、委托代理人身份证原件及身份证两面扫描件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投标保证金缴纳符合要求；</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投标文件上法定代表人或其授权代表人的签字或盖章齐全并加盖公章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只能有一个有效最终报价，不得提交选择性报价，且报价不超过采购预算金额。</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应满足招标文件的要求</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投标文件上法定代表人或其授权代表人的签字或盖章齐全并加盖公章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只能有一个有效最终报价，不得提交选择性报价，且报价不超过采购预算金额。</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应满足招标文件的要求</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1.评审内容：供应商针对本项目制定的总体工作方案，包含①项目需求，②目标任务，③工作流程，④实施方案。 2.评审标准：①.完整性：服务方案须全面，思路清晰、分析透彻，内容完整、方案科学、合理；②.可实施性；切合本项目实际情况，步骤明确、可操作性强；③针对性：总体方案能够紧扣项目实际情况，专业性强、内容科学、合理。 3.赋分标准（满分20分）：①每一项评审内容完全满足评审标准得5分；②每一项评审内容若存在方案不够明确、不够合理、不够完整、针对性不够强等方面，扣1.5分；③每一项评审内容不提供或完全背离评审标准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初步规划框架</w:t>
            </w:r>
          </w:p>
        </w:tc>
        <w:tc>
          <w:tcPr>
            <w:tcW w:type="dxa" w:w="2492"/>
          </w:tcPr>
          <w:p>
            <w:pPr>
              <w:pStyle w:val="null3"/>
            </w:pPr>
            <w:r>
              <w:rPr>
                <w:rFonts w:ascii="仿宋_GB2312" w:hAnsi="仿宋_GB2312" w:cs="仿宋_GB2312" w:eastAsia="仿宋_GB2312"/>
              </w:rPr>
              <w:t>1.评审内容：初步规划框架，包含①对蒲城县“十四五”规划的实施情况进行总结，找出蒲城县“十四五”期间经济社会发展存在的主要短板；②对蒲城县“十五五”经济社会发展定位、发展思路的总体构思，③对蒲城县目前的经济、发展方向、产业结构等方面进行典型分析总结，④结合国家宏观经济政策，分析未来经济社会发展方向发展方向切合蒲城县实际及重点举措。 2.评审标准：①完整性：保障措施须全面，完整、科学、合理；②可实施性；切合本项目实际情况，思路明确、可操作性强；③针对性：能够紧扣项目实际情况，内容科学、合理。 3.赋分标准（满分20分）：①每一项评审内容完全满足评审标准得5分；②每一项评审内容若存在方案不够明确、不够合理、不够完整、针对性不够强等方面，扣1.5分；③每一项评审内容不提供或完全背离评审标准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拟任本项目的项目负责人(主笔人)具有注册咨询工程师或具有注册城乡规划师执业资格(提供注册证书，注册单位应与投标单位名称一致)得1分；具有正高级职称的计2分；具有高级职称的计1分；具有中级职称的计0.5分；其他的不得分；提供相关证书。 2.拟任项目负责人(主笔人)具有类似业绩的得2分；业绩提供中标通知书或合同复印件，能体现项目负责人姓名。 注：拟任项目负责人(主笔人)还需提供在本单位缴纳社会保险证明并加盖供应商公章。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其他人员</w:t>
            </w:r>
          </w:p>
        </w:tc>
        <w:tc>
          <w:tcPr>
            <w:tcW w:type="dxa" w:w="2492"/>
          </w:tcPr>
          <w:p>
            <w:pPr>
              <w:pStyle w:val="null3"/>
            </w:pPr>
            <w:r>
              <w:rPr>
                <w:rFonts w:ascii="仿宋_GB2312" w:hAnsi="仿宋_GB2312" w:cs="仿宋_GB2312" w:eastAsia="仿宋_GB2312"/>
              </w:rPr>
              <w:t>拟投入本项目的其他专业技术人员(不含项目负责人)技术人员配备合理、专业人员分工、职责明确，能够满足本项目服务需求： （1）技术人员配备充足（15人以上），专业配置合理全面（8个专业以上），专业能力强（8人以上提供类似业绩），能全面高效地完成本项目的计10分； （2）人员配备合理（10人至15人），专业配置合理（5个专业以上），专业能力一般（5人至8人提供类似业绩），满足本项目基本工作需要的计5分； （3）人员配备不足（不足10人），专业配置不足（5个专业以下），专业能力差（5人以下提供类似业绩），无法满足本项目基本工作需要的不得分； 注：①其他专业指：农业、林业；水利水电；电力（火电、水电、核电、新能源）；煤炭；石油天然气；公路；铁路、城市轨道交通；民航；水运（含港口河海工程）；电子、信息工程师（含通信、广电、信息话）；冶金（含钢铁、有色）；石化、化工、医药；核工业；机械（含智能制造）；轻工、纺织；建材；建筑；市政公用工程师；生态建设和环境工程；水文地质、工程测量、岩土工程等。 ②以上人员还需提供在本单位缴纳社会保险证明并加盖投标人公章，退休人员须提供退休证明及本单位劳动合同。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实地调研实施方案</w:t>
            </w:r>
          </w:p>
        </w:tc>
        <w:tc>
          <w:tcPr>
            <w:tcW w:type="dxa" w:w="2492"/>
          </w:tcPr>
          <w:p>
            <w:pPr>
              <w:pStyle w:val="null3"/>
            </w:pPr>
            <w:r>
              <w:rPr>
                <w:rFonts w:ascii="仿宋_GB2312" w:hAnsi="仿宋_GB2312" w:cs="仿宋_GB2312" w:eastAsia="仿宋_GB2312"/>
              </w:rPr>
              <w:t>1.评审内容：提供针对本项目的实地调研方案，包括①调研对象，②调研访谈内容，③调研需收集的数据资料，④调研进度计划等。 2.评审标准①完整性：实地调研对象明确，内容全面，资料收集完善，进度安排合理。②可实施性；切合本项目实际情况，思路明确、可操作性强；③针对性：能够紧扣项目实际情况，内容科学、合理。 3.赋分标准（满分12分）①每一项评审内容完全满足评审标准得3分；②每一项评审内容若存在内容不够明确、不够合理、不够完整、针对性不强等方面，扣1分；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项目进度计划及质量保证措施</w:t>
            </w:r>
          </w:p>
        </w:tc>
        <w:tc>
          <w:tcPr>
            <w:tcW w:type="dxa" w:w="2492"/>
          </w:tcPr>
          <w:p>
            <w:pPr>
              <w:pStyle w:val="null3"/>
            </w:pPr>
            <w:r>
              <w:rPr>
                <w:rFonts w:ascii="仿宋_GB2312" w:hAnsi="仿宋_GB2312" w:cs="仿宋_GB2312" w:eastAsia="仿宋_GB2312"/>
              </w:rPr>
              <w:t>1.评审内容：供应商针对本项目提供项目进度计划及质量保证措施，内容包括：①各阶段工作计划及保证措施；②各阶段质量保证措施。 2.评审标准①完整性：保障措施须全面，完整、科学、合理；②可实施性；切合本项目实际情况，思路明确、可操作性强；③针对性：能够紧扣项目实际情况，内容科学、合理。 3.赋分标准（满分8分）①每一项评审内容完全满足评审标准得4分；②每一项评审内容若存在不够明确、不够合理、不够完整、针对性不够强等方面，扣1.5分；③每一项评审内容不提供或完全背离评审标准得0分。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后期服务配合计划</w:t>
            </w:r>
          </w:p>
        </w:tc>
        <w:tc>
          <w:tcPr>
            <w:tcW w:type="dxa" w:w="2492"/>
          </w:tcPr>
          <w:p>
            <w:pPr>
              <w:pStyle w:val="null3"/>
            </w:pPr>
            <w:r>
              <w:rPr>
                <w:rFonts w:ascii="仿宋_GB2312" w:hAnsi="仿宋_GB2312" w:cs="仿宋_GB2312" w:eastAsia="仿宋_GB2312"/>
              </w:rPr>
              <w:t>1.评审内容：后期服务配合计划，包括①为采购人提供相关技术咨询，②优化建议等措施，③配合采购人提供相应的成果及相关材料，④配合采购人完成汇报演示、成果验收及报批等相关工作。 2.评审标准①完整性：后期服务配合计划全面，完整、科学、合理；②可实施性；切合本项目实际情况，思路明确、可操作性强；③针对性：能够紧扣项目实际情况，内容科学、合理。 3.赋分标准（满分8分）①每一项评审内容完全满足评审标准得2分；②每一项评审内容若存在不够明确、不够合理、不够完整、针对性不够强等方面，扣0.5分；③每一项评审内容不提供或完全背离评审标准得0分。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投标人提供近3年(2022年1月至今)类似业绩：有一项得1分，本项最高得7分； 投标人需提供中标通知书或合同或成果文件复印件。</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格分统一采用低价优先法计算，即满足招标文件要求且投标价格最低的报价为评标基准价，，其价格分为满分。其他投标人的价格分统一按照下列公式计算:报价得分=评审基准价/有效投标报价x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15%的扣除，用扣除后的价格参加评审。承接本项目的供应商符合相应条件时，给予15%的价格扣除，即：评标价=最后报价×（1-15%）;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总体工作方案</w:t>
            </w:r>
          </w:p>
        </w:tc>
        <w:tc>
          <w:tcPr>
            <w:tcW w:type="dxa" w:w="2492"/>
          </w:tcPr>
          <w:p>
            <w:pPr>
              <w:pStyle w:val="null3"/>
            </w:pPr>
            <w:r>
              <w:rPr>
                <w:rFonts w:ascii="仿宋_GB2312" w:hAnsi="仿宋_GB2312" w:cs="仿宋_GB2312" w:eastAsia="仿宋_GB2312"/>
              </w:rPr>
              <w:t>1.评审内容：供应商针对本项目制定的总体工作方案，包含①项目需求，②目标任务，③工作流程，④实施方案。 2.评审标准：①完整性：服务方案须全面，思路清晰、分析透彻，内容完整、方案科学、合理；②可实施性；切合本项目实际情况，步骤明确、可操作性强；③针对性：总体方案能够紧扣项目实际情况，专业性强、内容科学、合理。 3.赋分标准（满分20分）：①每一项评审内容完全满足评审标准得5分；②每一项评审内容若存在方案不明确、不够合理、不完整、针对性不强等方面，扣1.5分；③每一项评审内容不提供或完全背离评审标准得0分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项目实施计划</w:t>
            </w:r>
          </w:p>
        </w:tc>
        <w:tc>
          <w:tcPr>
            <w:tcW w:type="dxa" w:w="2492"/>
          </w:tcPr>
          <w:p>
            <w:pPr>
              <w:pStyle w:val="null3"/>
            </w:pPr>
            <w:r>
              <w:rPr>
                <w:rFonts w:ascii="仿宋_GB2312" w:hAnsi="仿宋_GB2312" w:cs="仿宋_GB2312" w:eastAsia="仿宋_GB2312"/>
              </w:rPr>
              <w:t>1.评审内容：项目实施计划，包含①开展重大工程项目谋划储备培训；②实地调研；③项目评选论证；④编制与入库申报；⑤与国家、陕西省、渭南市衔接等工作。 2.评审标准：①完整性：内容全面，完整、科学、合理；②可实施性；切合本项目实际情况，思路明确、可操作性强；③针对性：能够紧扣项目实际情况，内容科学、合理。 3.赋分标准（满分25分）：①每一项评审内容完全满足评审标准得5分；②每一项评审内容若存在方案不够明确、不够合理、不完整、针对性不强等方面，扣1.5分；③每一项评审内容不提供或完全背离评审标准得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拟任本项目的项目负责人(主笔人)具有注册咨询工程师(提供注册证书，注册单位应与投标单位名称一致)得1分。具有正高级职称的计2分；具有高级职称的计1分；具有中级职称的计0.5分；其他的不得分，提供相关证书。 2.拟任项目负责人(主笔人)具有类似业绩的得2分；业绩提供中标通知书或合同复印件，能体现项目负责人姓名。 注：拟任项目负责人(主笔人)还需提供在本单位缴纳社会保险证明并加盖供应商公章。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其他人员</w:t>
            </w:r>
          </w:p>
        </w:tc>
        <w:tc>
          <w:tcPr>
            <w:tcW w:type="dxa" w:w="2492"/>
          </w:tcPr>
          <w:p>
            <w:pPr>
              <w:pStyle w:val="null3"/>
            </w:pPr>
            <w:r>
              <w:rPr>
                <w:rFonts w:ascii="仿宋_GB2312" w:hAnsi="仿宋_GB2312" w:cs="仿宋_GB2312" w:eastAsia="仿宋_GB2312"/>
              </w:rPr>
              <w:t>拟投入本项目的其他专业技术人员(不含项目负责人)，技术人员配备合理、专业人员分工、职责明确，能够满足本项目服务需求： （1）技术人员配备充足（10人以上），专业配置合理全面（5个专业以上），专业能力强（5人以上提供类似业绩），能全面高效地完成本项目的计10分； （2）人员配备合理（5人至10人），专业配置合理（3个专业以上），专业能力一般（3人至5人提供类似业绩），满足本项目基本工作需要的计5分； （3）人员配备不足（不足5人），专业配置不足（3个专业以下），专业能力差（3人以下提供类似业绩），无法满足本项目基本工作需要的不得分； 注：①其他专业指：农业、林业；水利水电；电力（火电、水电、核电、新能源）；煤炭；石油天然气；公路；铁路、城市轨道交通；民航；水运（含港口河海工程）；电子、信息工程师（含通信、广电、信息话）；冶金（含钢铁、有色）；石化、化工、医药；核工业；机械（含智能制造）；轻工、纺织；建材；建筑；市政公用工程师；生态建设和环境工程；水文地质、工程测量、岩土工程等。 ②以上人员还需提供在本单位缴纳社会保险证明并加盖投标人公章，退休人员须提供退休证明及本单位劳动合同。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项目进度计划及质量保证措施</w:t>
            </w:r>
          </w:p>
        </w:tc>
        <w:tc>
          <w:tcPr>
            <w:tcW w:type="dxa" w:w="2492"/>
          </w:tcPr>
          <w:p>
            <w:pPr>
              <w:pStyle w:val="null3"/>
            </w:pPr>
            <w:r>
              <w:rPr>
                <w:rFonts w:ascii="仿宋_GB2312" w:hAnsi="仿宋_GB2312" w:cs="仿宋_GB2312" w:eastAsia="仿宋_GB2312"/>
              </w:rPr>
              <w:t>1.评审内容：供应商针对本项目提供项目进度计划及质量保证措施，内容包括：①各阶段工作计划及保证措施；②各阶段质量保证措施。 2.评审标准①完整性：保障措施须全面，完整、科学、合理；②可实施性；切合本项目实际情况，思路明确、可操作性强；③针对性：能够紧扣项目实际情况，内容科学、合理。 3.赋分标准（满分10分）①每一项评审内容完全满足评审标准得5分；②每一项评审内容若存在不够明确、不够合理、不完整、针对性不强等方面，扣1.5分；③每一项评审内容不提供或完全背离评审标准得0分。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后期服务配合计划</w:t>
            </w:r>
          </w:p>
        </w:tc>
        <w:tc>
          <w:tcPr>
            <w:tcW w:type="dxa" w:w="2492"/>
          </w:tcPr>
          <w:p>
            <w:pPr>
              <w:pStyle w:val="null3"/>
            </w:pPr>
            <w:r>
              <w:rPr>
                <w:rFonts w:ascii="仿宋_GB2312" w:hAnsi="仿宋_GB2312" w:cs="仿宋_GB2312" w:eastAsia="仿宋_GB2312"/>
              </w:rPr>
              <w:t>1.评审内容：后期服务配合计划，包括①为采购人提供相关技术咨询，②优化建议等措施，③配合采购人提供相应的成果及相关材料，④配合采购人完成汇报演示、成果验收及报批等相关工作。 2.评审标准①完整性：后期服务配合计划全面，完整、科学、合理；②可实施性；切合本项目实际情况，思路明确、可操作性强；③针对性：能够紧扣项目实际情况，内容科学、合理。 3.赋分标准（满分10分）①每一项评审内容完全满足评审标准得2.5分；②每一项评审内容若存在不够明确、不够合理、不完整、针对性不强等方面，扣1分；③每一项评审内容不提供或完全背离评审标准得0分。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投标人提供近3年(2022年1月至今)类似业绩：有一项得2分，本项最高得10分； 投标人需提供中标通知书或合同或成果文件复印件。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格分统一采用低价优先法计算，即满足招标文件要求且投标价格最低的报价为评标基准价，，其价格分为满分。其他投标人的价格分统一按照下列公式计算:报价得分=评审基准价/有效投标报价x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15%的扣除，用扣除后的价格参加评审。承接本项目的供应商符合相应条件时，给予15%的价格扣除，即：评标价=最后报价×（1-15%）;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