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7D8C08">
      <w:pPr>
        <w:pStyle w:val="3"/>
        <w:bidi w:val="0"/>
        <w:spacing w:line="360" w:lineRule="auto"/>
        <w:rPr>
          <w:rFonts w:hint="eastAsia"/>
        </w:rPr>
      </w:pPr>
      <w:bookmarkStart w:id="16" w:name="_GoBack"/>
      <w:bookmarkEnd w:id="16"/>
      <w:r>
        <w:rPr>
          <w:rFonts w:hint="eastAsia"/>
          <w:lang w:val="en-US" w:eastAsia="zh-CN"/>
        </w:rPr>
        <w:t>合同条款（草案）</w:t>
      </w:r>
    </w:p>
    <w:p w14:paraId="68986AE9">
      <w:pPr>
        <w:pStyle w:val="12"/>
        <w:spacing w:before="240" w:beforeLines="100" w:line="360" w:lineRule="auto"/>
        <w:ind w:firstLine="420"/>
        <w:rPr>
          <w:rFonts w:hint="eastAsia" w:ascii="宋体" w:hAnsi="宋体"/>
          <w:bCs/>
          <w:color w:val="auto"/>
          <w:sz w:val="24"/>
          <w:szCs w:val="24"/>
          <w:highlight w:val="none"/>
        </w:rPr>
      </w:pPr>
      <w:bookmarkStart w:id="0" w:name="_Toc532895264"/>
      <w:r>
        <w:rPr>
          <w:rFonts w:hint="eastAsia" w:ascii="宋体" w:hAnsi="宋体"/>
          <w:bCs/>
          <w:color w:val="auto"/>
          <w:sz w:val="24"/>
          <w:szCs w:val="24"/>
          <w:highlight w:val="none"/>
        </w:rPr>
        <w:t xml:space="preserve">合同编号： </w:t>
      </w:r>
    </w:p>
    <w:p w14:paraId="4CC8F5BF">
      <w:pPr>
        <w:pStyle w:val="12"/>
        <w:spacing w:line="360" w:lineRule="auto"/>
        <w:ind w:firstLine="420"/>
        <w:rPr>
          <w:rFonts w:hint="eastAsia" w:ascii="宋体" w:hAnsi="宋体"/>
          <w:bCs/>
          <w:color w:val="auto"/>
          <w:sz w:val="24"/>
          <w:szCs w:val="24"/>
          <w:highlight w:val="none"/>
        </w:rPr>
      </w:pPr>
      <w:r>
        <w:rPr>
          <w:rFonts w:hint="eastAsia" w:ascii="宋体" w:hAnsi="宋体"/>
          <w:bCs/>
          <w:color w:val="auto"/>
          <w:sz w:val="24"/>
          <w:szCs w:val="24"/>
          <w:highlight w:val="none"/>
        </w:rPr>
        <w:t xml:space="preserve">签订地点： </w:t>
      </w:r>
    </w:p>
    <w:p w14:paraId="7657DAF4">
      <w:pPr>
        <w:pStyle w:val="12"/>
        <w:spacing w:line="360" w:lineRule="auto"/>
        <w:ind w:firstLine="420"/>
        <w:rPr>
          <w:rFonts w:hint="eastAsia" w:ascii="宋体" w:hAnsi="宋体"/>
          <w:bCs/>
          <w:color w:val="auto"/>
          <w:sz w:val="24"/>
          <w:szCs w:val="24"/>
          <w:highlight w:val="none"/>
        </w:rPr>
      </w:pPr>
      <w:r>
        <w:rPr>
          <w:rFonts w:hint="eastAsia" w:ascii="宋体" w:hAnsi="宋体"/>
          <w:bCs/>
          <w:color w:val="auto"/>
          <w:sz w:val="24"/>
          <w:szCs w:val="24"/>
          <w:highlight w:val="none"/>
        </w:rPr>
        <w:t>签订时间：</w:t>
      </w:r>
    </w:p>
    <w:p w14:paraId="15C99608">
      <w:pPr>
        <w:pStyle w:val="12"/>
        <w:spacing w:line="360" w:lineRule="auto"/>
        <w:ind w:firstLine="420"/>
        <w:rPr>
          <w:rFonts w:hint="eastAsia" w:ascii="宋体" w:hAnsi="宋体"/>
          <w:bCs/>
          <w:color w:val="auto"/>
          <w:sz w:val="24"/>
          <w:szCs w:val="24"/>
          <w:highlight w:val="none"/>
        </w:rPr>
      </w:pPr>
    </w:p>
    <w:p w14:paraId="238054AC">
      <w:pPr>
        <w:pStyle w:val="12"/>
        <w:spacing w:line="360" w:lineRule="auto"/>
        <w:ind w:firstLine="420"/>
        <w:rPr>
          <w:rFonts w:hint="eastAsia" w:ascii="宋体" w:hAnsi="宋体"/>
          <w:bCs/>
          <w:color w:val="auto"/>
          <w:sz w:val="24"/>
          <w:szCs w:val="24"/>
          <w:highlight w:val="none"/>
        </w:rPr>
      </w:pPr>
      <w:r>
        <w:rPr>
          <w:rFonts w:hint="eastAsia" w:ascii="宋体" w:hAnsi="宋体"/>
          <w:bCs/>
          <w:color w:val="auto"/>
          <w:sz w:val="24"/>
          <w:szCs w:val="24"/>
          <w:highlight w:val="none"/>
        </w:rPr>
        <w:t>采购人（甲方）：</w:t>
      </w:r>
    </w:p>
    <w:p w14:paraId="72360173">
      <w:pPr>
        <w:pStyle w:val="12"/>
        <w:spacing w:line="360" w:lineRule="auto"/>
        <w:ind w:firstLine="420"/>
        <w:rPr>
          <w:rFonts w:hint="eastAsia" w:ascii="宋体" w:hAnsi="宋体"/>
          <w:bCs/>
          <w:color w:val="auto"/>
          <w:sz w:val="24"/>
          <w:szCs w:val="24"/>
          <w:highlight w:val="none"/>
        </w:rPr>
      </w:pPr>
      <w:r>
        <w:rPr>
          <w:rFonts w:hint="eastAsia" w:ascii="宋体" w:hAnsi="宋体"/>
          <w:bCs/>
          <w:color w:val="auto"/>
          <w:sz w:val="24"/>
          <w:szCs w:val="24"/>
          <w:highlight w:val="none"/>
        </w:rPr>
        <w:t>供应商（乙方）：</w:t>
      </w:r>
    </w:p>
    <w:p w14:paraId="3C52D5E4">
      <w:pPr>
        <w:pStyle w:val="12"/>
        <w:spacing w:before="120" w:beforeLines="50" w:line="360" w:lineRule="auto"/>
        <w:ind w:firstLine="420"/>
        <w:rPr>
          <w:rFonts w:hint="eastAsia" w:ascii="宋体" w:hAnsi="宋体"/>
          <w:bCs/>
          <w:color w:val="auto"/>
          <w:sz w:val="24"/>
          <w:szCs w:val="24"/>
          <w:highlight w:val="none"/>
        </w:rPr>
      </w:pPr>
      <w:r>
        <w:rPr>
          <w:rFonts w:hint="eastAsia" w:ascii="宋体" w:hAnsi="宋体"/>
          <w:bCs/>
          <w:color w:val="auto"/>
          <w:sz w:val="24"/>
          <w:szCs w:val="24"/>
          <w:highlight w:val="none"/>
        </w:rPr>
        <w:t>根据《中华人民共和国政府采购法》及实施条例、《中华人民共和国民法典》和甲方</w:t>
      </w:r>
      <w:r>
        <w:rPr>
          <w:rFonts w:hint="eastAsia" w:ascii="宋体" w:hAnsi="宋体"/>
          <w:bCs/>
          <w:color w:val="auto"/>
          <w:sz w:val="24"/>
          <w:szCs w:val="24"/>
          <w:highlight w:val="none"/>
          <w:u w:val="single"/>
        </w:rPr>
        <w:t xml:space="preserve"> </w:t>
      </w:r>
      <w:r>
        <w:rPr>
          <w:rFonts w:hint="eastAsia" w:ascii="宋体" w:hAnsi="宋体"/>
          <w:bCs/>
          <w:color w:val="auto"/>
          <w:sz w:val="24"/>
          <w:szCs w:val="24"/>
          <w:highlight w:val="none"/>
          <w:u w:val="single"/>
          <w:lang w:val="en-US" w:eastAsia="zh-CN"/>
        </w:rPr>
        <w:t xml:space="preserve">   （项目名称）</w:t>
      </w:r>
      <w:r>
        <w:rPr>
          <w:rFonts w:hint="eastAsia" w:ascii="宋体" w:hAnsi="宋体"/>
          <w:bCs/>
          <w:color w:val="auto"/>
          <w:sz w:val="24"/>
          <w:szCs w:val="24"/>
          <w:highlight w:val="none"/>
          <w:u w:val="single"/>
        </w:rPr>
        <w:t xml:space="preserve"> （项目编号：</w:t>
      </w:r>
      <w:r>
        <w:rPr>
          <w:rFonts w:hint="eastAsia" w:ascii="宋体" w:hAnsi="宋体"/>
          <w:bCs/>
          <w:color w:val="auto"/>
          <w:sz w:val="24"/>
          <w:szCs w:val="24"/>
          <w:highlight w:val="none"/>
          <w:u w:val="single"/>
          <w:lang w:val="en-US" w:eastAsia="zh-CN"/>
        </w:rPr>
        <w:t xml:space="preserve">     </w:t>
      </w:r>
      <w:r>
        <w:rPr>
          <w:rFonts w:hint="eastAsia" w:ascii="宋体" w:hAnsi="宋体"/>
          <w:bCs/>
          <w:color w:val="auto"/>
          <w:sz w:val="24"/>
          <w:szCs w:val="24"/>
          <w:highlight w:val="none"/>
          <w:u w:val="single"/>
        </w:rPr>
        <w:t>）</w:t>
      </w:r>
      <w:r>
        <w:rPr>
          <w:rFonts w:hint="eastAsia" w:ascii="宋体" w:hAnsi="宋体"/>
          <w:bCs/>
          <w:color w:val="auto"/>
          <w:sz w:val="24"/>
          <w:szCs w:val="24"/>
          <w:highlight w:val="none"/>
        </w:rPr>
        <w:t>的</w:t>
      </w:r>
      <w:r>
        <w:rPr>
          <w:rFonts w:hint="eastAsia" w:ascii="宋体" w:hAnsi="宋体"/>
          <w:bCs/>
          <w:color w:val="auto"/>
          <w:sz w:val="24"/>
          <w:szCs w:val="24"/>
          <w:highlight w:val="none"/>
          <w:lang w:eastAsia="zh-CN"/>
        </w:rPr>
        <w:t>招标</w:t>
      </w:r>
      <w:r>
        <w:rPr>
          <w:rFonts w:hint="eastAsia" w:ascii="宋体" w:hAnsi="宋体"/>
          <w:bCs/>
          <w:color w:val="auto"/>
          <w:sz w:val="24"/>
          <w:szCs w:val="24"/>
          <w:highlight w:val="none"/>
        </w:rPr>
        <w:t>文件、</w:t>
      </w:r>
      <w:r>
        <w:rPr>
          <w:rFonts w:hint="eastAsia" w:ascii="宋体" w:hAnsi="宋体"/>
          <w:bCs/>
          <w:color w:val="auto"/>
          <w:sz w:val="24"/>
          <w:szCs w:val="24"/>
          <w:highlight w:val="none"/>
          <w:lang w:eastAsia="zh-CN"/>
        </w:rPr>
        <w:t>投标</w:t>
      </w:r>
      <w:r>
        <w:rPr>
          <w:rFonts w:hint="eastAsia" w:ascii="宋体" w:hAnsi="宋体"/>
          <w:bCs/>
          <w:color w:val="auto"/>
          <w:sz w:val="24"/>
          <w:szCs w:val="24"/>
          <w:highlight w:val="none"/>
        </w:rPr>
        <w:t>文件等有关规定，为确保甲方采购项目的顺利实施，甲、乙双方在平等自愿原则下签订本合同，并共同遵守如下条款：</w:t>
      </w:r>
    </w:p>
    <w:p w14:paraId="648836B3">
      <w:pPr>
        <w:pStyle w:val="12"/>
        <w:spacing w:before="120" w:beforeLines="50" w:after="120" w:afterLines="50" w:line="360" w:lineRule="auto"/>
        <w:ind w:firstLine="398" w:firstLineChars="166"/>
        <w:jc w:val="left"/>
        <w:rPr>
          <w:rFonts w:hint="eastAsia" w:ascii="Times New Roman" w:hAnsi="Times New Roman" w:eastAsia="宋体" w:cs="Times New Roman"/>
          <w:bCs/>
          <w:color w:val="auto"/>
          <w:kern w:val="2"/>
          <w:sz w:val="24"/>
          <w:szCs w:val="24"/>
          <w:highlight w:val="none"/>
          <w:lang w:val="en-US" w:eastAsia="zh-CN" w:bidi="ar-SA"/>
        </w:rPr>
      </w:pPr>
      <w:bookmarkStart w:id="1" w:name="_Toc15333_WPSOffice_Level2"/>
      <w:r>
        <w:rPr>
          <w:rFonts w:hint="eastAsia" w:ascii="Times New Roman" w:hAnsi="Times New Roman" w:eastAsia="宋体" w:cs="Times New Roman"/>
          <w:bCs/>
          <w:color w:val="auto"/>
          <w:kern w:val="2"/>
          <w:sz w:val="24"/>
          <w:szCs w:val="24"/>
          <w:highlight w:val="none"/>
          <w:lang w:val="en-US" w:eastAsia="zh-CN" w:bidi="ar-SA"/>
        </w:rPr>
        <w:t>第一条 合同标的及数量</w:t>
      </w:r>
      <w:bookmarkEnd w:id="1"/>
    </w:p>
    <w:p w14:paraId="36BE264F">
      <w:pPr>
        <w:pStyle w:val="12"/>
        <w:spacing w:before="120" w:beforeLines="50" w:line="360" w:lineRule="auto"/>
        <w:ind w:firstLine="600" w:firstLineChars="250"/>
        <w:rPr>
          <w:rFonts w:hint="eastAsia" w:ascii="宋体" w:hAnsi="宋体"/>
          <w:bCs/>
          <w:color w:val="auto"/>
          <w:sz w:val="24"/>
          <w:szCs w:val="24"/>
          <w:highlight w:val="none"/>
        </w:rPr>
      </w:pPr>
      <w:r>
        <w:rPr>
          <w:rFonts w:hint="eastAsia"/>
          <w:bCs/>
          <w:color w:val="auto"/>
          <w:sz w:val="24"/>
          <w:szCs w:val="24"/>
          <w:highlight w:val="none"/>
        </w:rPr>
        <w:t>乙方向甲方提供下列货物（产品）：</w:t>
      </w:r>
    </w:p>
    <w:p w14:paraId="296677C1">
      <w:pPr>
        <w:pStyle w:val="12"/>
        <w:spacing w:before="120" w:beforeLines="50" w:after="120" w:afterLines="50" w:line="360" w:lineRule="auto"/>
        <w:ind w:firstLine="398" w:firstLineChars="166"/>
        <w:jc w:val="center"/>
        <w:rPr>
          <w:rFonts w:hint="eastAsia" w:ascii="Times New Roman" w:hAnsi="Times New Roman" w:eastAsia="宋体" w:cs="Times New Roman"/>
          <w:bCs/>
          <w:color w:val="auto"/>
          <w:kern w:val="2"/>
          <w:sz w:val="24"/>
          <w:szCs w:val="24"/>
          <w:highlight w:val="none"/>
          <w:lang w:val="en-US" w:eastAsia="zh-CN" w:bidi="ar-SA"/>
        </w:rPr>
      </w:pPr>
      <w:bookmarkStart w:id="2" w:name="_Toc7254_WPSOffice_Level2"/>
      <w:r>
        <w:rPr>
          <w:rFonts w:hint="eastAsia" w:ascii="Times New Roman" w:hAnsi="Times New Roman" w:eastAsia="宋体" w:cs="Times New Roman"/>
          <w:bCs/>
          <w:color w:val="auto"/>
          <w:kern w:val="2"/>
          <w:sz w:val="24"/>
          <w:szCs w:val="24"/>
          <w:highlight w:val="none"/>
          <w:lang w:val="en-US" w:eastAsia="zh-CN" w:bidi="ar-SA"/>
        </w:rPr>
        <w:t>供货一览表</w:t>
      </w:r>
      <w:bookmarkEnd w:id="2"/>
    </w:p>
    <w:tbl>
      <w:tblPr>
        <w:tblStyle w:val="9"/>
        <w:tblW w:w="932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945"/>
        <w:gridCol w:w="1106"/>
        <w:gridCol w:w="1769"/>
        <w:gridCol w:w="688"/>
        <w:gridCol w:w="550"/>
        <w:gridCol w:w="1199"/>
        <w:gridCol w:w="1417"/>
      </w:tblGrid>
      <w:tr w14:paraId="6DFDC06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48" w:type="dxa"/>
            <w:noWrap w:val="0"/>
            <w:vAlign w:val="center"/>
          </w:tcPr>
          <w:p w14:paraId="69ECBB5E">
            <w:pPr>
              <w:pStyle w:val="5"/>
              <w:adjustRightInd w:val="0"/>
              <w:snapToGrid w:val="0"/>
              <w:spacing w:line="360" w:lineRule="auto"/>
              <w:ind w:firstLine="0"/>
              <w:jc w:val="center"/>
              <w:rPr>
                <w:rFonts w:hint="eastAsia" w:ascii="宋体" w:hAnsi="宋体"/>
                <w:b/>
                <w:color w:val="auto"/>
                <w:sz w:val="24"/>
                <w:szCs w:val="24"/>
                <w:highlight w:val="none"/>
              </w:rPr>
            </w:pPr>
            <w:r>
              <w:rPr>
                <w:rFonts w:hint="eastAsia" w:ascii="宋体" w:hAnsi="宋体"/>
                <w:b/>
                <w:color w:val="auto"/>
                <w:sz w:val="24"/>
                <w:szCs w:val="24"/>
                <w:highlight w:val="none"/>
              </w:rPr>
              <w:t>序号</w:t>
            </w:r>
          </w:p>
        </w:tc>
        <w:tc>
          <w:tcPr>
            <w:tcW w:w="1945" w:type="dxa"/>
            <w:noWrap w:val="0"/>
            <w:vAlign w:val="center"/>
          </w:tcPr>
          <w:p w14:paraId="61199C28">
            <w:pPr>
              <w:pStyle w:val="5"/>
              <w:adjustRightInd w:val="0"/>
              <w:snapToGrid w:val="0"/>
              <w:spacing w:line="360" w:lineRule="auto"/>
              <w:ind w:firstLine="0"/>
              <w:jc w:val="center"/>
              <w:rPr>
                <w:rFonts w:hint="eastAsia" w:ascii="宋体" w:hAnsi="宋体"/>
                <w:b/>
                <w:color w:val="auto"/>
                <w:sz w:val="24"/>
                <w:szCs w:val="24"/>
                <w:highlight w:val="none"/>
              </w:rPr>
            </w:pPr>
            <w:r>
              <w:rPr>
                <w:rFonts w:hint="eastAsia" w:ascii="宋体" w:hAnsi="宋体"/>
                <w:b/>
                <w:color w:val="auto"/>
                <w:sz w:val="24"/>
                <w:szCs w:val="24"/>
                <w:highlight w:val="none"/>
              </w:rPr>
              <w:t>产品名称</w:t>
            </w:r>
          </w:p>
        </w:tc>
        <w:tc>
          <w:tcPr>
            <w:tcW w:w="1106" w:type="dxa"/>
            <w:noWrap w:val="0"/>
            <w:vAlign w:val="center"/>
          </w:tcPr>
          <w:p w14:paraId="71B143E3">
            <w:pPr>
              <w:pStyle w:val="5"/>
              <w:adjustRightInd w:val="0"/>
              <w:snapToGrid w:val="0"/>
              <w:spacing w:line="360" w:lineRule="auto"/>
              <w:ind w:firstLine="0"/>
              <w:jc w:val="center"/>
              <w:rPr>
                <w:rFonts w:hint="eastAsia" w:ascii="宋体" w:hAnsi="宋体"/>
                <w:b/>
                <w:color w:val="auto"/>
                <w:sz w:val="24"/>
                <w:szCs w:val="24"/>
                <w:highlight w:val="none"/>
              </w:rPr>
            </w:pPr>
            <w:r>
              <w:rPr>
                <w:rFonts w:hint="eastAsia" w:ascii="宋体" w:hAnsi="宋体"/>
                <w:b/>
                <w:color w:val="auto"/>
                <w:sz w:val="24"/>
                <w:szCs w:val="24"/>
                <w:highlight w:val="none"/>
              </w:rPr>
              <w:t>品牌/商号</w:t>
            </w:r>
          </w:p>
        </w:tc>
        <w:tc>
          <w:tcPr>
            <w:tcW w:w="1769" w:type="dxa"/>
            <w:noWrap w:val="0"/>
            <w:vAlign w:val="center"/>
          </w:tcPr>
          <w:p w14:paraId="55CDA528">
            <w:pPr>
              <w:pStyle w:val="5"/>
              <w:adjustRightInd w:val="0"/>
              <w:snapToGrid w:val="0"/>
              <w:spacing w:line="360" w:lineRule="auto"/>
              <w:ind w:firstLine="0"/>
              <w:jc w:val="center"/>
              <w:rPr>
                <w:rFonts w:hint="eastAsia" w:ascii="宋体" w:hAnsi="宋体"/>
                <w:b/>
                <w:color w:val="auto"/>
                <w:sz w:val="24"/>
                <w:szCs w:val="24"/>
                <w:highlight w:val="none"/>
              </w:rPr>
            </w:pPr>
            <w:r>
              <w:rPr>
                <w:rFonts w:hint="eastAsia" w:ascii="宋体" w:hAnsi="宋体"/>
                <w:b/>
                <w:color w:val="auto"/>
                <w:sz w:val="24"/>
                <w:szCs w:val="24"/>
                <w:highlight w:val="none"/>
              </w:rPr>
              <w:t>型号规格</w:t>
            </w:r>
          </w:p>
        </w:tc>
        <w:tc>
          <w:tcPr>
            <w:tcW w:w="688" w:type="dxa"/>
            <w:noWrap w:val="0"/>
            <w:vAlign w:val="center"/>
          </w:tcPr>
          <w:p w14:paraId="1D5597A2">
            <w:pPr>
              <w:pStyle w:val="5"/>
              <w:adjustRightInd w:val="0"/>
              <w:snapToGrid w:val="0"/>
              <w:spacing w:line="360" w:lineRule="auto"/>
              <w:ind w:firstLine="0"/>
              <w:jc w:val="center"/>
              <w:rPr>
                <w:rFonts w:hint="eastAsia" w:ascii="宋体" w:hAnsi="宋体"/>
                <w:b/>
                <w:color w:val="auto"/>
                <w:sz w:val="24"/>
                <w:szCs w:val="24"/>
                <w:highlight w:val="none"/>
              </w:rPr>
            </w:pPr>
            <w:r>
              <w:rPr>
                <w:rFonts w:hint="eastAsia" w:ascii="宋体" w:hAnsi="宋体"/>
                <w:b/>
                <w:color w:val="auto"/>
                <w:sz w:val="24"/>
                <w:szCs w:val="24"/>
                <w:highlight w:val="none"/>
              </w:rPr>
              <w:t>计量单位</w:t>
            </w:r>
          </w:p>
        </w:tc>
        <w:tc>
          <w:tcPr>
            <w:tcW w:w="550" w:type="dxa"/>
            <w:noWrap w:val="0"/>
            <w:vAlign w:val="center"/>
          </w:tcPr>
          <w:p w14:paraId="280C9DBB">
            <w:pPr>
              <w:pStyle w:val="5"/>
              <w:adjustRightInd w:val="0"/>
              <w:snapToGrid w:val="0"/>
              <w:spacing w:line="360" w:lineRule="auto"/>
              <w:ind w:firstLine="0"/>
              <w:jc w:val="center"/>
              <w:rPr>
                <w:rFonts w:hint="eastAsia" w:ascii="宋体" w:hAnsi="宋体"/>
                <w:b/>
                <w:color w:val="auto"/>
                <w:sz w:val="24"/>
                <w:szCs w:val="24"/>
                <w:highlight w:val="none"/>
              </w:rPr>
            </w:pPr>
            <w:r>
              <w:rPr>
                <w:rFonts w:hint="eastAsia" w:ascii="宋体" w:hAnsi="宋体"/>
                <w:b/>
                <w:color w:val="auto"/>
                <w:sz w:val="24"/>
                <w:szCs w:val="24"/>
                <w:highlight w:val="none"/>
              </w:rPr>
              <w:t>数量</w:t>
            </w:r>
          </w:p>
        </w:tc>
        <w:tc>
          <w:tcPr>
            <w:tcW w:w="1199" w:type="dxa"/>
            <w:noWrap w:val="0"/>
            <w:vAlign w:val="center"/>
          </w:tcPr>
          <w:p w14:paraId="2D268870">
            <w:pPr>
              <w:pStyle w:val="5"/>
              <w:adjustRightInd w:val="0"/>
              <w:snapToGrid w:val="0"/>
              <w:spacing w:line="360" w:lineRule="auto"/>
              <w:ind w:firstLine="0"/>
              <w:jc w:val="center"/>
              <w:rPr>
                <w:rFonts w:hint="eastAsia" w:ascii="宋体" w:hAnsi="宋体"/>
                <w:b/>
                <w:color w:val="auto"/>
                <w:sz w:val="24"/>
                <w:szCs w:val="24"/>
                <w:highlight w:val="none"/>
              </w:rPr>
            </w:pPr>
            <w:r>
              <w:rPr>
                <w:rFonts w:hint="eastAsia" w:ascii="宋体" w:hAnsi="宋体"/>
                <w:b/>
                <w:color w:val="auto"/>
                <w:sz w:val="24"/>
                <w:szCs w:val="24"/>
                <w:highlight w:val="none"/>
              </w:rPr>
              <w:t>单价（元）</w:t>
            </w:r>
          </w:p>
        </w:tc>
        <w:tc>
          <w:tcPr>
            <w:tcW w:w="1417" w:type="dxa"/>
            <w:noWrap w:val="0"/>
            <w:vAlign w:val="center"/>
          </w:tcPr>
          <w:p w14:paraId="05F2E8E3">
            <w:pPr>
              <w:pStyle w:val="5"/>
              <w:adjustRightInd w:val="0"/>
              <w:snapToGrid w:val="0"/>
              <w:spacing w:line="360" w:lineRule="auto"/>
              <w:ind w:firstLine="0"/>
              <w:jc w:val="center"/>
              <w:rPr>
                <w:rFonts w:hint="eastAsia" w:ascii="宋体" w:hAnsi="宋体"/>
                <w:b/>
                <w:color w:val="auto"/>
                <w:sz w:val="24"/>
                <w:szCs w:val="24"/>
                <w:highlight w:val="none"/>
              </w:rPr>
            </w:pPr>
            <w:r>
              <w:rPr>
                <w:rFonts w:hint="eastAsia" w:ascii="宋体" w:hAnsi="宋体"/>
                <w:b/>
                <w:color w:val="auto"/>
                <w:sz w:val="24"/>
                <w:szCs w:val="24"/>
                <w:highlight w:val="none"/>
              </w:rPr>
              <w:t>金额 (元)</w:t>
            </w:r>
          </w:p>
        </w:tc>
      </w:tr>
      <w:tr w14:paraId="588E79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48" w:type="dxa"/>
            <w:noWrap w:val="0"/>
            <w:vAlign w:val="center"/>
          </w:tcPr>
          <w:p w14:paraId="0131DF00">
            <w:pPr>
              <w:widowControl/>
              <w:adjustRightInd w:val="0"/>
              <w:snapToGrid w:val="0"/>
              <w:spacing w:line="360" w:lineRule="auto"/>
              <w:jc w:val="center"/>
              <w:rPr>
                <w:rFonts w:hint="eastAsia" w:ascii="宋体" w:hAnsi="宋体"/>
                <w:bCs/>
                <w:color w:val="auto"/>
                <w:sz w:val="24"/>
                <w:szCs w:val="24"/>
                <w:highlight w:val="none"/>
              </w:rPr>
            </w:pPr>
          </w:p>
        </w:tc>
        <w:tc>
          <w:tcPr>
            <w:tcW w:w="1945" w:type="dxa"/>
            <w:noWrap w:val="0"/>
            <w:vAlign w:val="center"/>
          </w:tcPr>
          <w:p w14:paraId="6BFB8AAA">
            <w:pPr>
              <w:widowControl/>
              <w:adjustRightInd w:val="0"/>
              <w:snapToGrid w:val="0"/>
              <w:spacing w:line="360" w:lineRule="auto"/>
              <w:jc w:val="center"/>
              <w:rPr>
                <w:rFonts w:hint="eastAsia" w:ascii="宋体" w:hAnsi="宋体"/>
                <w:bCs/>
                <w:color w:val="auto"/>
                <w:sz w:val="24"/>
                <w:szCs w:val="24"/>
                <w:highlight w:val="none"/>
              </w:rPr>
            </w:pPr>
          </w:p>
        </w:tc>
        <w:tc>
          <w:tcPr>
            <w:tcW w:w="1106" w:type="dxa"/>
            <w:noWrap w:val="0"/>
            <w:vAlign w:val="center"/>
          </w:tcPr>
          <w:p w14:paraId="1B4A5FD9">
            <w:pPr>
              <w:pStyle w:val="5"/>
              <w:adjustRightInd w:val="0"/>
              <w:snapToGrid w:val="0"/>
              <w:spacing w:line="360" w:lineRule="auto"/>
              <w:ind w:firstLine="0"/>
              <w:jc w:val="center"/>
              <w:rPr>
                <w:rFonts w:hint="eastAsia" w:ascii="宋体" w:hAnsi="宋体"/>
                <w:bCs/>
                <w:color w:val="auto"/>
                <w:sz w:val="24"/>
                <w:szCs w:val="24"/>
                <w:highlight w:val="none"/>
              </w:rPr>
            </w:pPr>
          </w:p>
        </w:tc>
        <w:tc>
          <w:tcPr>
            <w:tcW w:w="1769" w:type="dxa"/>
            <w:noWrap w:val="0"/>
            <w:vAlign w:val="center"/>
          </w:tcPr>
          <w:p w14:paraId="4A52DB7B">
            <w:pPr>
              <w:pStyle w:val="5"/>
              <w:adjustRightInd w:val="0"/>
              <w:snapToGrid w:val="0"/>
              <w:spacing w:line="360" w:lineRule="auto"/>
              <w:ind w:firstLine="0"/>
              <w:jc w:val="center"/>
              <w:rPr>
                <w:rFonts w:hint="eastAsia" w:ascii="宋体" w:hAnsi="宋体"/>
                <w:bCs/>
                <w:color w:val="auto"/>
                <w:sz w:val="24"/>
                <w:szCs w:val="24"/>
                <w:highlight w:val="none"/>
              </w:rPr>
            </w:pPr>
          </w:p>
        </w:tc>
        <w:tc>
          <w:tcPr>
            <w:tcW w:w="688" w:type="dxa"/>
            <w:noWrap w:val="0"/>
            <w:vAlign w:val="center"/>
          </w:tcPr>
          <w:p w14:paraId="1B194632">
            <w:pPr>
              <w:widowControl/>
              <w:adjustRightInd w:val="0"/>
              <w:snapToGrid w:val="0"/>
              <w:spacing w:line="360" w:lineRule="auto"/>
              <w:jc w:val="center"/>
              <w:rPr>
                <w:rFonts w:hint="eastAsia" w:ascii="宋体" w:hAnsi="宋体"/>
                <w:bCs/>
                <w:color w:val="auto"/>
                <w:sz w:val="24"/>
                <w:szCs w:val="24"/>
                <w:highlight w:val="none"/>
              </w:rPr>
            </w:pPr>
          </w:p>
        </w:tc>
        <w:tc>
          <w:tcPr>
            <w:tcW w:w="550" w:type="dxa"/>
            <w:noWrap w:val="0"/>
            <w:vAlign w:val="center"/>
          </w:tcPr>
          <w:p w14:paraId="4969A23D">
            <w:pPr>
              <w:widowControl/>
              <w:adjustRightInd w:val="0"/>
              <w:snapToGrid w:val="0"/>
              <w:spacing w:line="360" w:lineRule="auto"/>
              <w:jc w:val="center"/>
              <w:rPr>
                <w:rFonts w:hint="eastAsia" w:ascii="宋体" w:hAnsi="宋体"/>
                <w:bCs/>
                <w:color w:val="auto"/>
                <w:sz w:val="24"/>
                <w:szCs w:val="24"/>
                <w:highlight w:val="none"/>
              </w:rPr>
            </w:pPr>
          </w:p>
        </w:tc>
        <w:tc>
          <w:tcPr>
            <w:tcW w:w="1199" w:type="dxa"/>
            <w:noWrap w:val="0"/>
            <w:vAlign w:val="center"/>
          </w:tcPr>
          <w:p w14:paraId="6E16D497">
            <w:pPr>
              <w:pStyle w:val="5"/>
              <w:adjustRightInd w:val="0"/>
              <w:snapToGrid w:val="0"/>
              <w:spacing w:line="360" w:lineRule="auto"/>
              <w:ind w:firstLine="0"/>
              <w:jc w:val="center"/>
              <w:rPr>
                <w:rFonts w:hint="eastAsia" w:ascii="宋体" w:hAnsi="宋体"/>
                <w:bCs/>
                <w:color w:val="auto"/>
                <w:sz w:val="24"/>
                <w:szCs w:val="24"/>
                <w:highlight w:val="none"/>
              </w:rPr>
            </w:pPr>
          </w:p>
        </w:tc>
        <w:tc>
          <w:tcPr>
            <w:tcW w:w="1417" w:type="dxa"/>
            <w:noWrap w:val="0"/>
            <w:vAlign w:val="center"/>
          </w:tcPr>
          <w:p w14:paraId="076DDA7C">
            <w:pPr>
              <w:pStyle w:val="5"/>
              <w:adjustRightInd w:val="0"/>
              <w:snapToGrid w:val="0"/>
              <w:spacing w:line="360" w:lineRule="auto"/>
              <w:ind w:firstLine="0"/>
              <w:jc w:val="center"/>
              <w:rPr>
                <w:rFonts w:hint="eastAsia" w:ascii="宋体" w:hAnsi="宋体"/>
                <w:bCs/>
                <w:color w:val="auto"/>
                <w:sz w:val="24"/>
                <w:szCs w:val="24"/>
                <w:highlight w:val="none"/>
              </w:rPr>
            </w:pPr>
          </w:p>
        </w:tc>
      </w:tr>
      <w:tr w14:paraId="07A411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48" w:type="dxa"/>
            <w:noWrap w:val="0"/>
            <w:vAlign w:val="center"/>
          </w:tcPr>
          <w:p w14:paraId="2E18EA69">
            <w:pPr>
              <w:widowControl/>
              <w:adjustRightInd w:val="0"/>
              <w:snapToGrid w:val="0"/>
              <w:spacing w:line="360" w:lineRule="auto"/>
              <w:jc w:val="center"/>
              <w:rPr>
                <w:rFonts w:hint="eastAsia" w:ascii="宋体" w:hAnsi="宋体"/>
                <w:bCs/>
                <w:color w:val="auto"/>
                <w:sz w:val="24"/>
                <w:szCs w:val="24"/>
                <w:highlight w:val="none"/>
              </w:rPr>
            </w:pPr>
          </w:p>
        </w:tc>
        <w:tc>
          <w:tcPr>
            <w:tcW w:w="1945" w:type="dxa"/>
            <w:noWrap w:val="0"/>
            <w:vAlign w:val="center"/>
          </w:tcPr>
          <w:p w14:paraId="74E9A4E8">
            <w:pPr>
              <w:widowControl/>
              <w:adjustRightInd w:val="0"/>
              <w:snapToGrid w:val="0"/>
              <w:spacing w:line="360" w:lineRule="auto"/>
              <w:jc w:val="center"/>
              <w:rPr>
                <w:rFonts w:hint="eastAsia" w:ascii="宋体" w:hAnsi="宋体"/>
                <w:bCs/>
                <w:color w:val="auto"/>
                <w:sz w:val="24"/>
                <w:szCs w:val="24"/>
                <w:highlight w:val="none"/>
              </w:rPr>
            </w:pPr>
          </w:p>
        </w:tc>
        <w:tc>
          <w:tcPr>
            <w:tcW w:w="1106" w:type="dxa"/>
            <w:noWrap w:val="0"/>
            <w:vAlign w:val="center"/>
          </w:tcPr>
          <w:p w14:paraId="534B1C57">
            <w:pPr>
              <w:pStyle w:val="5"/>
              <w:adjustRightInd w:val="0"/>
              <w:snapToGrid w:val="0"/>
              <w:spacing w:line="360" w:lineRule="auto"/>
              <w:ind w:firstLine="0"/>
              <w:jc w:val="center"/>
              <w:rPr>
                <w:rFonts w:hint="eastAsia" w:ascii="宋体" w:hAnsi="宋体"/>
                <w:bCs/>
                <w:color w:val="auto"/>
                <w:sz w:val="24"/>
                <w:szCs w:val="24"/>
                <w:highlight w:val="none"/>
              </w:rPr>
            </w:pPr>
          </w:p>
        </w:tc>
        <w:tc>
          <w:tcPr>
            <w:tcW w:w="1769" w:type="dxa"/>
            <w:noWrap w:val="0"/>
            <w:vAlign w:val="center"/>
          </w:tcPr>
          <w:p w14:paraId="33249BD9">
            <w:pPr>
              <w:pStyle w:val="5"/>
              <w:adjustRightInd w:val="0"/>
              <w:snapToGrid w:val="0"/>
              <w:spacing w:line="360" w:lineRule="auto"/>
              <w:ind w:firstLine="0"/>
              <w:jc w:val="center"/>
              <w:rPr>
                <w:rFonts w:hint="eastAsia" w:ascii="宋体" w:hAnsi="宋体"/>
                <w:bCs/>
                <w:color w:val="auto"/>
                <w:sz w:val="24"/>
                <w:szCs w:val="24"/>
                <w:highlight w:val="none"/>
              </w:rPr>
            </w:pPr>
          </w:p>
        </w:tc>
        <w:tc>
          <w:tcPr>
            <w:tcW w:w="688" w:type="dxa"/>
            <w:noWrap w:val="0"/>
            <w:vAlign w:val="center"/>
          </w:tcPr>
          <w:p w14:paraId="6D969FDA">
            <w:pPr>
              <w:widowControl/>
              <w:adjustRightInd w:val="0"/>
              <w:snapToGrid w:val="0"/>
              <w:spacing w:line="360" w:lineRule="auto"/>
              <w:jc w:val="center"/>
              <w:rPr>
                <w:rFonts w:hint="eastAsia" w:ascii="宋体" w:hAnsi="宋体"/>
                <w:bCs/>
                <w:color w:val="auto"/>
                <w:sz w:val="24"/>
                <w:szCs w:val="24"/>
                <w:highlight w:val="none"/>
              </w:rPr>
            </w:pPr>
          </w:p>
        </w:tc>
        <w:tc>
          <w:tcPr>
            <w:tcW w:w="550" w:type="dxa"/>
            <w:noWrap w:val="0"/>
            <w:vAlign w:val="center"/>
          </w:tcPr>
          <w:p w14:paraId="6305B07F">
            <w:pPr>
              <w:widowControl/>
              <w:adjustRightInd w:val="0"/>
              <w:snapToGrid w:val="0"/>
              <w:spacing w:line="360" w:lineRule="auto"/>
              <w:jc w:val="center"/>
              <w:rPr>
                <w:rFonts w:hint="eastAsia" w:ascii="宋体" w:hAnsi="宋体"/>
                <w:bCs/>
                <w:color w:val="auto"/>
                <w:sz w:val="24"/>
                <w:szCs w:val="24"/>
                <w:highlight w:val="none"/>
              </w:rPr>
            </w:pPr>
          </w:p>
        </w:tc>
        <w:tc>
          <w:tcPr>
            <w:tcW w:w="1199" w:type="dxa"/>
            <w:noWrap w:val="0"/>
            <w:vAlign w:val="center"/>
          </w:tcPr>
          <w:p w14:paraId="47F19A82">
            <w:pPr>
              <w:pStyle w:val="5"/>
              <w:adjustRightInd w:val="0"/>
              <w:snapToGrid w:val="0"/>
              <w:spacing w:line="360" w:lineRule="auto"/>
              <w:ind w:firstLine="0"/>
              <w:jc w:val="center"/>
              <w:rPr>
                <w:rFonts w:hint="eastAsia" w:ascii="宋体" w:hAnsi="宋体"/>
                <w:bCs/>
                <w:color w:val="auto"/>
                <w:sz w:val="24"/>
                <w:szCs w:val="24"/>
                <w:highlight w:val="none"/>
              </w:rPr>
            </w:pPr>
          </w:p>
        </w:tc>
        <w:tc>
          <w:tcPr>
            <w:tcW w:w="1417" w:type="dxa"/>
            <w:noWrap w:val="0"/>
            <w:vAlign w:val="center"/>
          </w:tcPr>
          <w:p w14:paraId="5F63FB5D">
            <w:pPr>
              <w:pStyle w:val="5"/>
              <w:adjustRightInd w:val="0"/>
              <w:snapToGrid w:val="0"/>
              <w:spacing w:line="360" w:lineRule="auto"/>
              <w:ind w:firstLine="0"/>
              <w:jc w:val="center"/>
              <w:rPr>
                <w:rFonts w:hint="eastAsia" w:ascii="宋体" w:hAnsi="宋体"/>
                <w:bCs/>
                <w:color w:val="auto"/>
                <w:sz w:val="24"/>
                <w:szCs w:val="24"/>
                <w:highlight w:val="none"/>
              </w:rPr>
            </w:pPr>
          </w:p>
        </w:tc>
      </w:tr>
      <w:tr w14:paraId="0B3D6D7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48" w:type="dxa"/>
            <w:noWrap w:val="0"/>
            <w:vAlign w:val="center"/>
          </w:tcPr>
          <w:p w14:paraId="292D5EF5">
            <w:pPr>
              <w:widowControl/>
              <w:adjustRightInd w:val="0"/>
              <w:snapToGrid w:val="0"/>
              <w:spacing w:line="360" w:lineRule="auto"/>
              <w:jc w:val="center"/>
              <w:rPr>
                <w:rFonts w:hint="eastAsia" w:ascii="宋体" w:hAnsi="宋体"/>
                <w:bCs/>
                <w:color w:val="auto"/>
                <w:sz w:val="24"/>
                <w:szCs w:val="24"/>
                <w:highlight w:val="none"/>
              </w:rPr>
            </w:pPr>
          </w:p>
        </w:tc>
        <w:tc>
          <w:tcPr>
            <w:tcW w:w="1945" w:type="dxa"/>
            <w:noWrap w:val="0"/>
            <w:vAlign w:val="center"/>
          </w:tcPr>
          <w:p w14:paraId="4BD25835">
            <w:pPr>
              <w:widowControl/>
              <w:adjustRightInd w:val="0"/>
              <w:snapToGrid w:val="0"/>
              <w:spacing w:line="360" w:lineRule="auto"/>
              <w:jc w:val="center"/>
              <w:rPr>
                <w:rFonts w:hint="eastAsia" w:ascii="宋体" w:hAnsi="宋体"/>
                <w:bCs/>
                <w:color w:val="auto"/>
                <w:sz w:val="24"/>
                <w:szCs w:val="24"/>
                <w:highlight w:val="none"/>
              </w:rPr>
            </w:pPr>
          </w:p>
        </w:tc>
        <w:tc>
          <w:tcPr>
            <w:tcW w:w="1106" w:type="dxa"/>
            <w:noWrap w:val="0"/>
            <w:vAlign w:val="center"/>
          </w:tcPr>
          <w:p w14:paraId="0479ECC5">
            <w:pPr>
              <w:pStyle w:val="5"/>
              <w:adjustRightInd w:val="0"/>
              <w:snapToGrid w:val="0"/>
              <w:spacing w:line="360" w:lineRule="auto"/>
              <w:ind w:firstLine="0"/>
              <w:jc w:val="center"/>
              <w:rPr>
                <w:rFonts w:hint="eastAsia" w:ascii="宋体" w:hAnsi="宋体"/>
                <w:bCs/>
                <w:color w:val="auto"/>
                <w:sz w:val="24"/>
                <w:szCs w:val="24"/>
                <w:highlight w:val="none"/>
              </w:rPr>
            </w:pPr>
          </w:p>
        </w:tc>
        <w:tc>
          <w:tcPr>
            <w:tcW w:w="1769" w:type="dxa"/>
            <w:noWrap w:val="0"/>
            <w:vAlign w:val="center"/>
          </w:tcPr>
          <w:p w14:paraId="2BA842B6">
            <w:pPr>
              <w:pStyle w:val="5"/>
              <w:adjustRightInd w:val="0"/>
              <w:snapToGrid w:val="0"/>
              <w:spacing w:line="360" w:lineRule="auto"/>
              <w:ind w:firstLine="0"/>
              <w:jc w:val="center"/>
              <w:rPr>
                <w:rFonts w:hint="eastAsia" w:ascii="宋体" w:hAnsi="宋体"/>
                <w:bCs/>
                <w:color w:val="auto"/>
                <w:sz w:val="24"/>
                <w:szCs w:val="24"/>
                <w:highlight w:val="none"/>
              </w:rPr>
            </w:pPr>
          </w:p>
        </w:tc>
        <w:tc>
          <w:tcPr>
            <w:tcW w:w="688" w:type="dxa"/>
            <w:noWrap w:val="0"/>
            <w:vAlign w:val="center"/>
          </w:tcPr>
          <w:p w14:paraId="332024A7">
            <w:pPr>
              <w:widowControl/>
              <w:adjustRightInd w:val="0"/>
              <w:snapToGrid w:val="0"/>
              <w:spacing w:line="360" w:lineRule="auto"/>
              <w:jc w:val="center"/>
              <w:rPr>
                <w:rFonts w:hint="eastAsia" w:ascii="宋体" w:hAnsi="宋体"/>
                <w:bCs/>
                <w:color w:val="auto"/>
                <w:sz w:val="24"/>
                <w:szCs w:val="24"/>
                <w:highlight w:val="none"/>
              </w:rPr>
            </w:pPr>
          </w:p>
        </w:tc>
        <w:tc>
          <w:tcPr>
            <w:tcW w:w="550" w:type="dxa"/>
            <w:noWrap w:val="0"/>
            <w:vAlign w:val="center"/>
          </w:tcPr>
          <w:p w14:paraId="3382F44A">
            <w:pPr>
              <w:widowControl/>
              <w:adjustRightInd w:val="0"/>
              <w:snapToGrid w:val="0"/>
              <w:spacing w:line="360" w:lineRule="auto"/>
              <w:jc w:val="center"/>
              <w:rPr>
                <w:rFonts w:hint="eastAsia" w:ascii="宋体" w:hAnsi="宋体"/>
                <w:bCs/>
                <w:color w:val="auto"/>
                <w:sz w:val="24"/>
                <w:szCs w:val="24"/>
                <w:highlight w:val="none"/>
              </w:rPr>
            </w:pPr>
          </w:p>
        </w:tc>
        <w:tc>
          <w:tcPr>
            <w:tcW w:w="1199" w:type="dxa"/>
            <w:noWrap w:val="0"/>
            <w:vAlign w:val="center"/>
          </w:tcPr>
          <w:p w14:paraId="2FA437BE">
            <w:pPr>
              <w:pStyle w:val="5"/>
              <w:adjustRightInd w:val="0"/>
              <w:snapToGrid w:val="0"/>
              <w:spacing w:line="360" w:lineRule="auto"/>
              <w:ind w:firstLine="0"/>
              <w:jc w:val="center"/>
              <w:rPr>
                <w:rFonts w:hint="eastAsia" w:ascii="宋体" w:hAnsi="宋体"/>
                <w:bCs/>
                <w:color w:val="auto"/>
                <w:sz w:val="24"/>
                <w:szCs w:val="24"/>
                <w:highlight w:val="none"/>
              </w:rPr>
            </w:pPr>
          </w:p>
        </w:tc>
        <w:tc>
          <w:tcPr>
            <w:tcW w:w="1417" w:type="dxa"/>
            <w:noWrap w:val="0"/>
            <w:vAlign w:val="center"/>
          </w:tcPr>
          <w:p w14:paraId="6AAE32F1">
            <w:pPr>
              <w:pStyle w:val="5"/>
              <w:adjustRightInd w:val="0"/>
              <w:snapToGrid w:val="0"/>
              <w:spacing w:line="360" w:lineRule="auto"/>
              <w:ind w:firstLine="0"/>
              <w:jc w:val="center"/>
              <w:rPr>
                <w:rFonts w:hint="eastAsia" w:ascii="宋体" w:hAnsi="宋体"/>
                <w:bCs/>
                <w:color w:val="auto"/>
                <w:sz w:val="24"/>
                <w:szCs w:val="24"/>
                <w:highlight w:val="none"/>
              </w:rPr>
            </w:pPr>
          </w:p>
        </w:tc>
      </w:tr>
      <w:tr w14:paraId="4BB42B1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48" w:type="dxa"/>
            <w:noWrap w:val="0"/>
            <w:vAlign w:val="center"/>
          </w:tcPr>
          <w:p w14:paraId="7E4D9507">
            <w:pPr>
              <w:widowControl/>
              <w:adjustRightInd w:val="0"/>
              <w:snapToGrid w:val="0"/>
              <w:spacing w:line="360" w:lineRule="auto"/>
              <w:jc w:val="center"/>
              <w:rPr>
                <w:rFonts w:hint="eastAsia" w:ascii="宋体" w:hAnsi="宋体"/>
                <w:bCs/>
                <w:color w:val="auto"/>
                <w:sz w:val="24"/>
                <w:szCs w:val="24"/>
                <w:highlight w:val="none"/>
              </w:rPr>
            </w:pPr>
          </w:p>
        </w:tc>
        <w:tc>
          <w:tcPr>
            <w:tcW w:w="1945" w:type="dxa"/>
            <w:noWrap w:val="0"/>
            <w:vAlign w:val="center"/>
          </w:tcPr>
          <w:p w14:paraId="4AB81FF2">
            <w:pPr>
              <w:widowControl/>
              <w:adjustRightInd w:val="0"/>
              <w:snapToGrid w:val="0"/>
              <w:spacing w:line="360" w:lineRule="auto"/>
              <w:jc w:val="center"/>
              <w:rPr>
                <w:rFonts w:hint="eastAsia" w:ascii="宋体" w:hAnsi="宋体"/>
                <w:bCs/>
                <w:color w:val="auto"/>
                <w:sz w:val="24"/>
                <w:szCs w:val="24"/>
                <w:highlight w:val="none"/>
              </w:rPr>
            </w:pPr>
          </w:p>
        </w:tc>
        <w:tc>
          <w:tcPr>
            <w:tcW w:w="1106" w:type="dxa"/>
            <w:noWrap w:val="0"/>
            <w:vAlign w:val="center"/>
          </w:tcPr>
          <w:p w14:paraId="54465DAE">
            <w:pPr>
              <w:pStyle w:val="5"/>
              <w:adjustRightInd w:val="0"/>
              <w:snapToGrid w:val="0"/>
              <w:spacing w:line="360" w:lineRule="auto"/>
              <w:ind w:firstLine="0"/>
              <w:jc w:val="center"/>
              <w:rPr>
                <w:rFonts w:hint="eastAsia" w:ascii="宋体" w:hAnsi="宋体"/>
                <w:bCs/>
                <w:color w:val="auto"/>
                <w:sz w:val="24"/>
                <w:szCs w:val="24"/>
                <w:highlight w:val="none"/>
              </w:rPr>
            </w:pPr>
          </w:p>
        </w:tc>
        <w:tc>
          <w:tcPr>
            <w:tcW w:w="1769" w:type="dxa"/>
            <w:noWrap w:val="0"/>
            <w:vAlign w:val="center"/>
          </w:tcPr>
          <w:p w14:paraId="792980A4">
            <w:pPr>
              <w:pStyle w:val="5"/>
              <w:adjustRightInd w:val="0"/>
              <w:snapToGrid w:val="0"/>
              <w:spacing w:line="360" w:lineRule="auto"/>
              <w:ind w:firstLine="0"/>
              <w:jc w:val="center"/>
              <w:rPr>
                <w:rFonts w:hint="eastAsia" w:ascii="宋体" w:hAnsi="宋体"/>
                <w:bCs/>
                <w:color w:val="auto"/>
                <w:sz w:val="24"/>
                <w:szCs w:val="24"/>
                <w:highlight w:val="none"/>
              </w:rPr>
            </w:pPr>
          </w:p>
        </w:tc>
        <w:tc>
          <w:tcPr>
            <w:tcW w:w="688" w:type="dxa"/>
            <w:noWrap w:val="0"/>
            <w:vAlign w:val="center"/>
          </w:tcPr>
          <w:p w14:paraId="72FC0DD0">
            <w:pPr>
              <w:widowControl/>
              <w:adjustRightInd w:val="0"/>
              <w:snapToGrid w:val="0"/>
              <w:spacing w:line="360" w:lineRule="auto"/>
              <w:jc w:val="center"/>
              <w:rPr>
                <w:rFonts w:hint="eastAsia" w:ascii="宋体" w:hAnsi="宋体"/>
                <w:bCs/>
                <w:color w:val="auto"/>
                <w:sz w:val="24"/>
                <w:szCs w:val="24"/>
                <w:highlight w:val="none"/>
              </w:rPr>
            </w:pPr>
          </w:p>
        </w:tc>
        <w:tc>
          <w:tcPr>
            <w:tcW w:w="550" w:type="dxa"/>
            <w:noWrap w:val="0"/>
            <w:vAlign w:val="center"/>
          </w:tcPr>
          <w:p w14:paraId="6914502F">
            <w:pPr>
              <w:widowControl/>
              <w:adjustRightInd w:val="0"/>
              <w:snapToGrid w:val="0"/>
              <w:spacing w:line="360" w:lineRule="auto"/>
              <w:jc w:val="center"/>
              <w:rPr>
                <w:rFonts w:hint="eastAsia" w:ascii="宋体" w:hAnsi="宋体"/>
                <w:bCs/>
                <w:color w:val="auto"/>
                <w:sz w:val="24"/>
                <w:szCs w:val="24"/>
                <w:highlight w:val="none"/>
              </w:rPr>
            </w:pPr>
          </w:p>
        </w:tc>
        <w:tc>
          <w:tcPr>
            <w:tcW w:w="1199" w:type="dxa"/>
            <w:noWrap w:val="0"/>
            <w:vAlign w:val="center"/>
          </w:tcPr>
          <w:p w14:paraId="50CD2A85">
            <w:pPr>
              <w:pStyle w:val="5"/>
              <w:adjustRightInd w:val="0"/>
              <w:snapToGrid w:val="0"/>
              <w:spacing w:line="360" w:lineRule="auto"/>
              <w:ind w:firstLine="0"/>
              <w:jc w:val="center"/>
              <w:rPr>
                <w:rFonts w:hint="eastAsia" w:ascii="宋体" w:hAnsi="宋体"/>
                <w:bCs/>
                <w:color w:val="auto"/>
                <w:sz w:val="24"/>
                <w:szCs w:val="24"/>
                <w:highlight w:val="none"/>
              </w:rPr>
            </w:pPr>
          </w:p>
        </w:tc>
        <w:tc>
          <w:tcPr>
            <w:tcW w:w="1417" w:type="dxa"/>
            <w:noWrap w:val="0"/>
            <w:vAlign w:val="center"/>
          </w:tcPr>
          <w:p w14:paraId="7F2DF850">
            <w:pPr>
              <w:pStyle w:val="5"/>
              <w:adjustRightInd w:val="0"/>
              <w:snapToGrid w:val="0"/>
              <w:spacing w:line="360" w:lineRule="auto"/>
              <w:ind w:firstLine="0"/>
              <w:jc w:val="center"/>
              <w:rPr>
                <w:rFonts w:hint="eastAsia" w:ascii="宋体" w:hAnsi="宋体"/>
                <w:bCs/>
                <w:color w:val="auto"/>
                <w:sz w:val="24"/>
                <w:szCs w:val="24"/>
                <w:highlight w:val="none"/>
              </w:rPr>
            </w:pPr>
          </w:p>
        </w:tc>
      </w:tr>
      <w:tr w14:paraId="59FEAB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48" w:type="dxa"/>
            <w:noWrap w:val="0"/>
            <w:vAlign w:val="center"/>
          </w:tcPr>
          <w:p w14:paraId="23FF53F5">
            <w:pPr>
              <w:widowControl/>
              <w:adjustRightInd w:val="0"/>
              <w:snapToGrid w:val="0"/>
              <w:spacing w:line="360" w:lineRule="auto"/>
              <w:jc w:val="center"/>
              <w:rPr>
                <w:rFonts w:hint="eastAsia" w:ascii="宋体" w:hAnsi="宋体"/>
                <w:bCs/>
                <w:color w:val="auto"/>
                <w:sz w:val="24"/>
                <w:szCs w:val="24"/>
                <w:highlight w:val="none"/>
              </w:rPr>
            </w:pPr>
          </w:p>
        </w:tc>
        <w:tc>
          <w:tcPr>
            <w:tcW w:w="1945" w:type="dxa"/>
            <w:noWrap w:val="0"/>
            <w:vAlign w:val="center"/>
          </w:tcPr>
          <w:p w14:paraId="30B46922">
            <w:pPr>
              <w:widowControl/>
              <w:adjustRightInd w:val="0"/>
              <w:snapToGrid w:val="0"/>
              <w:spacing w:line="360" w:lineRule="auto"/>
              <w:jc w:val="center"/>
              <w:rPr>
                <w:rFonts w:hint="eastAsia" w:ascii="宋体" w:hAnsi="宋体"/>
                <w:bCs/>
                <w:color w:val="auto"/>
                <w:sz w:val="24"/>
                <w:szCs w:val="24"/>
                <w:highlight w:val="none"/>
              </w:rPr>
            </w:pPr>
          </w:p>
        </w:tc>
        <w:tc>
          <w:tcPr>
            <w:tcW w:w="1106" w:type="dxa"/>
            <w:noWrap w:val="0"/>
            <w:vAlign w:val="center"/>
          </w:tcPr>
          <w:p w14:paraId="0EBB04AC">
            <w:pPr>
              <w:pStyle w:val="5"/>
              <w:adjustRightInd w:val="0"/>
              <w:snapToGrid w:val="0"/>
              <w:spacing w:line="360" w:lineRule="auto"/>
              <w:ind w:firstLine="0"/>
              <w:jc w:val="center"/>
              <w:rPr>
                <w:rFonts w:hint="eastAsia" w:ascii="宋体" w:hAnsi="宋体"/>
                <w:bCs/>
                <w:color w:val="auto"/>
                <w:sz w:val="24"/>
                <w:szCs w:val="24"/>
                <w:highlight w:val="none"/>
              </w:rPr>
            </w:pPr>
          </w:p>
        </w:tc>
        <w:tc>
          <w:tcPr>
            <w:tcW w:w="1769" w:type="dxa"/>
            <w:noWrap w:val="0"/>
            <w:vAlign w:val="center"/>
          </w:tcPr>
          <w:p w14:paraId="014F682F">
            <w:pPr>
              <w:pStyle w:val="5"/>
              <w:adjustRightInd w:val="0"/>
              <w:snapToGrid w:val="0"/>
              <w:spacing w:line="360" w:lineRule="auto"/>
              <w:ind w:firstLine="0"/>
              <w:jc w:val="center"/>
              <w:rPr>
                <w:rFonts w:hint="eastAsia" w:ascii="宋体" w:hAnsi="宋体"/>
                <w:bCs/>
                <w:color w:val="auto"/>
                <w:sz w:val="24"/>
                <w:szCs w:val="24"/>
                <w:highlight w:val="none"/>
              </w:rPr>
            </w:pPr>
          </w:p>
        </w:tc>
        <w:tc>
          <w:tcPr>
            <w:tcW w:w="688" w:type="dxa"/>
            <w:noWrap w:val="0"/>
            <w:vAlign w:val="center"/>
          </w:tcPr>
          <w:p w14:paraId="13B92206">
            <w:pPr>
              <w:widowControl/>
              <w:adjustRightInd w:val="0"/>
              <w:snapToGrid w:val="0"/>
              <w:spacing w:line="360" w:lineRule="auto"/>
              <w:jc w:val="center"/>
              <w:rPr>
                <w:rFonts w:hint="eastAsia" w:ascii="宋体" w:hAnsi="宋体"/>
                <w:bCs/>
                <w:color w:val="auto"/>
                <w:sz w:val="24"/>
                <w:szCs w:val="24"/>
                <w:highlight w:val="none"/>
              </w:rPr>
            </w:pPr>
          </w:p>
        </w:tc>
        <w:tc>
          <w:tcPr>
            <w:tcW w:w="550" w:type="dxa"/>
            <w:noWrap w:val="0"/>
            <w:vAlign w:val="center"/>
          </w:tcPr>
          <w:p w14:paraId="66C20CFB">
            <w:pPr>
              <w:widowControl/>
              <w:adjustRightInd w:val="0"/>
              <w:snapToGrid w:val="0"/>
              <w:spacing w:line="360" w:lineRule="auto"/>
              <w:jc w:val="center"/>
              <w:rPr>
                <w:rFonts w:hint="eastAsia" w:ascii="宋体" w:hAnsi="宋体"/>
                <w:bCs/>
                <w:color w:val="auto"/>
                <w:sz w:val="24"/>
                <w:szCs w:val="24"/>
                <w:highlight w:val="none"/>
              </w:rPr>
            </w:pPr>
          </w:p>
        </w:tc>
        <w:tc>
          <w:tcPr>
            <w:tcW w:w="1199" w:type="dxa"/>
            <w:noWrap w:val="0"/>
            <w:vAlign w:val="center"/>
          </w:tcPr>
          <w:p w14:paraId="039E8997">
            <w:pPr>
              <w:pStyle w:val="5"/>
              <w:adjustRightInd w:val="0"/>
              <w:snapToGrid w:val="0"/>
              <w:spacing w:line="360" w:lineRule="auto"/>
              <w:ind w:firstLine="0"/>
              <w:jc w:val="center"/>
              <w:rPr>
                <w:rFonts w:hint="eastAsia" w:ascii="宋体" w:hAnsi="宋体"/>
                <w:bCs/>
                <w:color w:val="auto"/>
                <w:sz w:val="24"/>
                <w:szCs w:val="24"/>
                <w:highlight w:val="none"/>
              </w:rPr>
            </w:pPr>
          </w:p>
        </w:tc>
        <w:tc>
          <w:tcPr>
            <w:tcW w:w="1417" w:type="dxa"/>
            <w:noWrap w:val="0"/>
            <w:vAlign w:val="center"/>
          </w:tcPr>
          <w:p w14:paraId="56FC32CE">
            <w:pPr>
              <w:pStyle w:val="5"/>
              <w:adjustRightInd w:val="0"/>
              <w:snapToGrid w:val="0"/>
              <w:spacing w:line="360" w:lineRule="auto"/>
              <w:ind w:firstLine="0"/>
              <w:jc w:val="center"/>
              <w:rPr>
                <w:rFonts w:hint="eastAsia" w:ascii="宋体" w:hAnsi="宋体"/>
                <w:bCs/>
                <w:color w:val="auto"/>
                <w:sz w:val="24"/>
                <w:szCs w:val="24"/>
                <w:highlight w:val="none"/>
              </w:rPr>
            </w:pPr>
          </w:p>
        </w:tc>
      </w:tr>
      <w:tr w14:paraId="3C70F25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48" w:type="dxa"/>
            <w:noWrap w:val="0"/>
            <w:vAlign w:val="center"/>
          </w:tcPr>
          <w:p w14:paraId="07A2D7F2">
            <w:pPr>
              <w:widowControl/>
              <w:adjustRightInd w:val="0"/>
              <w:snapToGrid w:val="0"/>
              <w:spacing w:line="360" w:lineRule="auto"/>
              <w:jc w:val="center"/>
              <w:rPr>
                <w:rFonts w:hint="eastAsia" w:ascii="宋体" w:hAnsi="宋体"/>
                <w:bCs/>
                <w:color w:val="auto"/>
                <w:sz w:val="24"/>
                <w:szCs w:val="24"/>
                <w:highlight w:val="none"/>
              </w:rPr>
            </w:pPr>
          </w:p>
        </w:tc>
        <w:tc>
          <w:tcPr>
            <w:tcW w:w="1945" w:type="dxa"/>
            <w:noWrap w:val="0"/>
            <w:vAlign w:val="center"/>
          </w:tcPr>
          <w:p w14:paraId="548EDA0C">
            <w:pPr>
              <w:widowControl/>
              <w:adjustRightInd w:val="0"/>
              <w:snapToGrid w:val="0"/>
              <w:spacing w:line="360" w:lineRule="auto"/>
              <w:jc w:val="center"/>
              <w:rPr>
                <w:rFonts w:hint="eastAsia" w:ascii="宋体" w:hAnsi="宋体"/>
                <w:bCs/>
                <w:color w:val="auto"/>
                <w:sz w:val="24"/>
                <w:szCs w:val="24"/>
                <w:highlight w:val="none"/>
              </w:rPr>
            </w:pPr>
          </w:p>
        </w:tc>
        <w:tc>
          <w:tcPr>
            <w:tcW w:w="1106" w:type="dxa"/>
            <w:noWrap w:val="0"/>
            <w:vAlign w:val="center"/>
          </w:tcPr>
          <w:p w14:paraId="049DC690">
            <w:pPr>
              <w:pStyle w:val="5"/>
              <w:adjustRightInd w:val="0"/>
              <w:snapToGrid w:val="0"/>
              <w:spacing w:line="360" w:lineRule="auto"/>
              <w:ind w:firstLine="0"/>
              <w:jc w:val="center"/>
              <w:rPr>
                <w:rFonts w:hint="eastAsia" w:ascii="宋体" w:hAnsi="宋体"/>
                <w:bCs/>
                <w:color w:val="auto"/>
                <w:sz w:val="24"/>
                <w:szCs w:val="24"/>
                <w:highlight w:val="none"/>
              </w:rPr>
            </w:pPr>
          </w:p>
        </w:tc>
        <w:tc>
          <w:tcPr>
            <w:tcW w:w="1769" w:type="dxa"/>
            <w:noWrap w:val="0"/>
            <w:vAlign w:val="center"/>
          </w:tcPr>
          <w:p w14:paraId="6714E166">
            <w:pPr>
              <w:pStyle w:val="5"/>
              <w:adjustRightInd w:val="0"/>
              <w:snapToGrid w:val="0"/>
              <w:spacing w:line="360" w:lineRule="auto"/>
              <w:ind w:firstLine="0"/>
              <w:jc w:val="center"/>
              <w:rPr>
                <w:rFonts w:hint="eastAsia" w:ascii="宋体" w:hAnsi="宋体"/>
                <w:bCs/>
                <w:color w:val="auto"/>
                <w:sz w:val="24"/>
                <w:szCs w:val="24"/>
                <w:highlight w:val="none"/>
              </w:rPr>
            </w:pPr>
          </w:p>
        </w:tc>
        <w:tc>
          <w:tcPr>
            <w:tcW w:w="688" w:type="dxa"/>
            <w:noWrap w:val="0"/>
            <w:vAlign w:val="center"/>
          </w:tcPr>
          <w:p w14:paraId="4ABBB2CB">
            <w:pPr>
              <w:widowControl/>
              <w:adjustRightInd w:val="0"/>
              <w:snapToGrid w:val="0"/>
              <w:spacing w:line="360" w:lineRule="auto"/>
              <w:jc w:val="center"/>
              <w:rPr>
                <w:rFonts w:hint="eastAsia" w:ascii="宋体" w:hAnsi="宋体"/>
                <w:bCs/>
                <w:color w:val="auto"/>
                <w:sz w:val="24"/>
                <w:szCs w:val="24"/>
                <w:highlight w:val="none"/>
              </w:rPr>
            </w:pPr>
          </w:p>
        </w:tc>
        <w:tc>
          <w:tcPr>
            <w:tcW w:w="550" w:type="dxa"/>
            <w:noWrap w:val="0"/>
            <w:vAlign w:val="center"/>
          </w:tcPr>
          <w:p w14:paraId="4FF88DA0">
            <w:pPr>
              <w:widowControl/>
              <w:adjustRightInd w:val="0"/>
              <w:snapToGrid w:val="0"/>
              <w:spacing w:line="360" w:lineRule="auto"/>
              <w:jc w:val="center"/>
              <w:rPr>
                <w:rFonts w:hint="eastAsia" w:ascii="宋体" w:hAnsi="宋体"/>
                <w:bCs/>
                <w:color w:val="auto"/>
                <w:sz w:val="24"/>
                <w:szCs w:val="24"/>
                <w:highlight w:val="none"/>
              </w:rPr>
            </w:pPr>
          </w:p>
        </w:tc>
        <w:tc>
          <w:tcPr>
            <w:tcW w:w="1199" w:type="dxa"/>
            <w:noWrap w:val="0"/>
            <w:vAlign w:val="center"/>
          </w:tcPr>
          <w:p w14:paraId="15659C0F">
            <w:pPr>
              <w:pStyle w:val="5"/>
              <w:adjustRightInd w:val="0"/>
              <w:snapToGrid w:val="0"/>
              <w:spacing w:line="360" w:lineRule="auto"/>
              <w:ind w:firstLine="0"/>
              <w:jc w:val="center"/>
              <w:rPr>
                <w:rFonts w:hint="eastAsia" w:ascii="宋体" w:hAnsi="宋体"/>
                <w:bCs/>
                <w:color w:val="auto"/>
                <w:sz w:val="24"/>
                <w:szCs w:val="24"/>
                <w:highlight w:val="none"/>
              </w:rPr>
            </w:pPr>
          </w:p>
        </w:tc>
        <w:tc>
          <w:tcPr>
            <w:tcW w:w="1417" w:type="dxa"/>
            <w:noWrap w:val="0"/>
            <w:vAlign w:val="center"/>
          </w:tcPr>
          <w:p w14:paraId="637BEFD3">
            <w:pPr>
              <w:pStyle w:val="5"/>
              <w:adjustRightInd w:val="0"/>
              <w:snapToGrid w:val="0"/>
              <w:spacing w:line="360" w:lineRule="auto"/>
              <w:ind w:firstLine="0"/>
              <w:jc w:val="center"/>
              <w:rPr>
                <w:rFonts w:hint="eastAsia" w:ascii="宋体" w:hAnsi="宋体"/>
                <w:bCs/>
                <w:color w:val="auto"/>
                <w:sz w:val="24"/>
                <w:szCs w:val="24"/>
                <w:highlight w:val="none"/>
              </w:rPr>
            </w:pPr>
          </w:p>
        </w:tc>
      </w:tr>
      <w:tr w14:paraId="3AFD7E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48" w:type="dxa"/>
            <w:noWrap w:val="0"/>
            <w:vAlign w:val="center"/>
          </w:tcPr>
          <w:p w14:paraId="0AE584C6">
            <w:pPr>
              <w:widowControl/>
              <w:adjustRightInd w:val="0"/>
              <w:snapToGrid w:val="0"/>
              <w:spacing w:line="360" w:lineRule="auto"/>
              <w:jc w:val="center"/>
              <w:rPr>
                <w:rFonts w:hint="eastAsia" w:ascii="宋体" w:hAnsi="宋体"/>
                <w:bCs/>
                <w:color w:val="auto"/>
                <w:sz w:val="24"/>
                <w:szCs w:val="24"/>
                <w:highlight w:val="none"/>
              </w:rPr>
            </w:pPr>
          </w:p>
        </w:tc>
        <w:tc>
          <w:tcPr>
            <w:tcW w:w="1945" w:type="dxa"/>
            <w:noWrap w:val="0"/>
            <w:vAlign w:val="center"/>
          </w:tcPr>
          <w:p w14:paraId="1BC4AD35">
            <w:pPr>
              <w:widowControl/>
              <w:adjustRightInd w:val="0"/>
              <w:snapToGrid w:val="0"/>
              <w:spacing w:line="360" w:lineRule="auto"/>
              <w:jc w:val="center"/>
              <w:rPr>
                <w:rFonts w:hint="eastAsia" w:ascii="宋体" w:hAnsi="宋体"/>
                <w:bCs/>
                <w:color w:val="auto"/>
                <w:sz w:val="24"/>
                <w:szCs w:val="24"/>
                <w:highlight w:val="none"/>
              </w:rPr>
            </w:pPr>
          </w:p>
        </w:tc>
        <w:tc>
          <w:tcPr>
            <w:tcW w:w="1106" w:type="dxa"/>
            <w:noWrap w:val="0"/>
            <w:vAlign w:val="center"/>
          </w:tcPr>
          <w:p w14:paraId="6EAAD886">
            <w:pPr>
              <w:pStyle w:val="5"/>
              <w:adjustRightInd w:val="0"/>
              <w:snapToGrid w:val="0"/>
              <w:spacing w:line="360" w:lineRule="auto"/>
              <w:ind w:firstLine="0"/>
              <w:jc w:val="center"/>
              <w:rPr>
                <w:rFonts w:hint="eastAsia" w:ascii="宋体" w:hAnsi="宋体"/>
                <w:bCs/>
                <w:color w:val="auto"/>
                <w:sz w:val="24"/>
                <w:szCs w:val="24"/>
                <w:highlight w:val="none"/>
              </w:rPr>
            </w:pPr>
          </w:p>
        </w:tc>
        <w:tc>
          <w:tcPr>
            <w:tcW w:w="1769" w:type="dxa"/>
            <w:noWrap w:val="0"/>
            <w:vAlign w:val="center"/>
          </w:tcPr>
          <w:p w14:paraId="33BBB1AF">
            <w:pPr>
              <w:pStyle w:val="5"/>
              <w:adjustRightInd w:val="0"/>
              <w:snapToGrid w:val="0"/>
              <w:spacing w:line="360" w:lineRule="auto"/>
              <w:ind w:firstLine="0"/>
              <w:jc w:val="center"/>
              <w:rPr>
                <w:rFonts w:hint="eastAsia" w:ascii="宋体" w:hAnsi="宋体"/>
                <w:bCs/>
                <w:color w:val="auto"/>
                <w:sz w:val="24"/>
                <w:szCs w:val="24"/>
                <w:highlight w:val="none"/>
              </w:rPr>
            </w:pPr>
          </w:p>
        </w:tc>
        <w:tc>
          <w:tcPr>
            <w:tcW w:w="688" w:type="dxa"/>
            <w:noWrap w:val="0"/>
            <w:vAlign w:val="center"/>
          </w:tcPr>
          <w:p w14:paraId="7E8661DF">
            <w:pPr>
              <w:widowControl/>
              <w:adjustRightInd w:val="0"/>
              <w:snapToGrid w:val="0"/>
              <w:spacing w:line="360" w:lineRule="auto"/>
              <w:jc w:val="center"/>
              <w:rPr>
                <w:rFonts w:hint="eastAsia" w:ascii="宋体" w:hAnsi="宋体"/>
                <w:bCs/>
                <w:color w:val="auto"/>
                <w:sz w:val="24"/>
                <w:szCs w:val="24"/>
                <w:highlight w:val="none"/>
              </w:rPr>
            </w:pPr>
          </w:p>
        </w:tc>
        <w:tc>
          <w:tcPr>
            <w:tcW w:w="550" w:type="dxa"/>
            <w:noWrap w:val="0"/>
            <w:vAlign w:val="center"/>
          </w:tcPr>
          <w:p w14:paraId="29F76AF0">
            <w:pPr>
              <w:widowControl/>
              <w:adjustRightInd w:val="0"/>
              <w:snapToGrid w:val="0"/>
              <w:spacing w:line="360" w:lineRule="auto"/>
              <w:jc w:val="center"/>
              <w:rPr>
                <w:rFonts w:hint="eastAsia" w:ascii="宋体" w:hAnsi="宋体"/>
                <w:bCs/>
                <w:color w:val="auto"/>
                <w:sz w:val="24"/>
                <w:szCs w:val="24"/>
                <w:highlight w:val="none"/>
              </w:rPr>
            </w:pPr>
          </w:p>
        </w:tc>
        <w:tc>
          <w:tcPr>
            <w:tcW w:w="1199" w:type="dxa"/>
            <w:noWrap w:val="0"/>
            <w:vAlign w:val="center"/>
          </w:tcPr>
          <w:p w14:paraId="4A5DDFF7">
            <w:pPr>
              <w:pStyle w:val="5"/>
              <w:adjustRightInd w:val="0"/>
              <w:snapToGrid w:val="0"/>
              <w:spacing w:line="360" w:lineRule="auto"/>
              <w:ind w:firstLine="0"/>
              <w:jc w:val="center"/>
              <w:rPr>
                <w:rFonts w:hint="eastAsia" w:ascii="宋体" w:hAnsi="宋体"/>
                <w:bCs/>
                <w:color w:val="auto"/>
                <w:sz w:val="24"/>
                <w:szCs w:val="24"/>
                <w:highlight w:val="none"/>
              </w:rPr>
            </w:pPr>
          </w:p>
        </w:tc>
        <w:tc>
          <w:tcPr>
            <w:tcW w:w="1417" w:type="dxa"/>
            <w:noWrap w:val="0"/>
            <w:vAlign w:val="center"/>
          </w:tcPr>
          <w:p w14:paraId="00FA8FCF">
            <w:pPr>
              <w:pStyle w:val="5"/>
              <w:adjustRightInd w:val="0"/>
              <w:snapToGrid w:val="0"/>
              <w:spacing w:line="360" w:lineRule="auto"/>
              <w:ind w:firstLine="0"/>
              <w:jc w:val="center"/>
              <w:rPr>
                <w:rFonts w:hint="eastAsia" w:ascii="宋体" w:hAnsi="宋体"/>
                <w:bCs/>
                <w:color w:val="auto"/>
                <w:sz w:val="24"/>
                <w:szCs w:val="24"/>
                <w:highlight w:val="none"/>
              </w:rPr>
            </w:pPr>
          </w:p>
        </w:tc>
      </w:tr>
      <w:tr w14:paraId="6F70C6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48" w:type="dxa"/>
            <w:noWrap w:val="0"/>
            <w:vAlign w:val="center"/>
          </w:tcPr>
          <w:p w14:paraId="377E27A5">
            <w:pPr>
              <w:widowControl/>
              <w:adjustRightInd w:val="0"/>
              <w:snapToGrid w:val="0"/>
              <w:spacing w:line="360" w:lineRule="auto"/>
              <w:jc w:val="center"/>
              <w:rPr>
                <w:rFonts w:ascii="宋体" w:hAnsi="宋体" w:cs="宋体"/>
                <w:bCs/>
                <w:color w:val="auto"/>
                <w:kern w:val="0"/>
                <w:sz w:val="24"/>
                <w:szCs w:val="24"/>
                <w:highlight w:val="none"/>
              </w:rPr>
            </w:pPr>
          </w:p>
        </w:tc>
        <w:tc>
          <w:tcPr>
            <w:tcW w:w="6058" w:type="dxa"/>
            <w:gridSpan w:val="5"/>
            <w:noWrap w:val="0"/>
            <w:vAlign w:val="center"/>
          </w:tcPr>
          <w:p w14:paraId="736C93B3">
            <w:pPr>
              <w:pStyle w:val="5"/>
              <w:adjustRightInd w:val="0"/>
              <w:snapToGrid w:val="0"/>
              <w:spacing w:line="360" w:lineRule="auto"/>
              <w:ind w:firstLine="0"/>
              <w:jc w:val="center"/>
              <w:rPr>
                <w:rFonts w:hint="eastAsia" w:ascii="宋体" w:hAnsi="宋体"/>
                <w:bCs/>
                <w:color w:val="auto"/>
                <w:sz w:val="24"/>
                <w:szCs w:val="24"/>
                <w:highlight w:val="none"/>
              </w:rPr>
            </w:pPr>
            <w:r>
              <w:rPr>
                <w:rFonts w:hint="eastAsia" w:ascii="宋体" w:hAnsi="宋体"/>
                <w:bCs/>
                <w:color w:val="auto"/>
                <w:sz w:val="24"/>
                <w:szCs w:val="24"/>
                <w:highlight w:val="none"/>
              </w:rPr>
              <w:t>大写</w:t>
            </w:r>
          </w:p>
        </w:tc>
        <w:tc>
          <w:tcPr>
            <w:tcW w:w="2616" w:type="dxa"/>
            <w:gridSpan w:val="2"/>
            <w:noWrap w:val="0"/>
            <w:vAlign w:val="center"/>
          </w:tcPr>
          <w:p w14:paraId="77C439FD">
            <w:pPr>
              <w:pStyle w:val="5"/>
              <w:adjustRightInd w:val="0"/>
              <w:snapToGrid w:val="0"/>
              <w:spacing w:line="360" w:lineRule="auto"/>
              <w:ind w:firstLine="0"/>
              <w:jc w:val="center"/>
              <w:rPr>
                <w:rFonts w:hint="eastAsia" w:ascii="宋体" w:hAnsi="宋体"/>
                <w:bCs/>
                <w:color w:val="auto"/>
                <w:sz w:val="24"/>
                <w:szCs w:val="24"/>
                <w:highlight w:val="none"/>
              </w:rPr>
            </w:pPr>
            <w:r>
              <w:rPr>
                <w:rFonts w:hint="eastAsia" w:ascii="宋体" w:hAnsi="宋体"/>
                <w:bCs/>
                <w:color w:val="auto"/>
                <w:sz w:val="24"/>
                <w:szCs w:val="24"/>
                <w:highlight w:val="none"/>
              </w:rPr>
              <w:t>￥</w:t>
            </w:r>
          </w:p>
        </w:tc>
      </w:tr>
    </w:tbl>
    <w:p w14:paraId="5B0B5C70">
      <w:pPr>
        <w:pStyle w:val="12"/>
        <w:spacing w:before="120" w:beforeLines="50" w:after="120" w:afterLines="50" w:line="360" w:lineRule="auto"/>
        <w:ind w:firstLine="398" w:firstLineChars="166"/>
        <w:rPr>
          <w:rFonts w:hint="eastAsia" w:ascii="Times New Roman" w:hAnsi="Times New Roman" w:eastAsia="宋体" w:cs="Times New Roman"/>
          <w:bCs/>
          <w:color w:val="auto"/>
          <w:kern w:val="2"/>
          <w:sz w:val="24"/>
          <w:szCs w:val="24"/>
          <w:highlight w:val="none"/>
          <w:lang w:val="en-US" w:eastAsia="zh-CN" w:bidi="ar-SA"/>
        </w:rPr>
      </w:pPr>
      <w:bookmarkStart w:id="3" w:name="_Toc5640_WPSOffice_Level2"/>
      <w:r>
        <w:rPr>
          <w:rFonts w:hint="eastAsia" w:ascii="Times New Roman" w:hAnsi="Times New Roman" w:eastAsia="宋体" w:cs="Times New Roman"/>
          <w:bCs/>
          <w:color w:val="auto"/>
          <w:kern w:val="2"/>
          <w:sz w:val="24"/>
          <w:szCs w:val="24"/>
          <w:highlight w:val="none"/>
          <w:lang w:val="en-US" w:eastAsia="zh-CN" w:bidi="ar-SA"/>
        </w:rPr>
        <w:br w:type="page"/>
      </w:r>
      <w:r>
        <w:rPr>
          <w:rFonts w:hint="eastAsia" w:ascii="Times New Roman" w:hAnsi="Times New Roman" w:eastAsia="宋体" w:cs="Times New Roman"/>
          <w:bCs/>
          <w:color w:val="auto"/>
          <w:kern w:val="2"/>
          <w:sz w:val="24"/>
          <w:szCs w:val="24"/>
          <w:highlight w:val="none"/>
          <w:lang w:val="en-US" w:eastAsia="zh-CN" w:bidi="ar-SA"/>
        </w:rPr>
        <w:t>第二条 合同价款</w:t>
      </w:r>
      <w:bookmarkEnd w:id="3"/>
    </w:p>
    <w:p w14:paraId="3A88ACB6">
      <w:pPr>
        <w:pStyle w:val="12"/>
        <w:spacing w:line="360" w:lineRule="auto"/>
        <w:ind w:firstLine="410" w:firstLineChars="171"/>
        <w:rPr>
          <w:rFonts w:hint="eastAsia" w:ascii="宋体" w:hAnsi="宋体"/>
          <w:bCs/>
          <w:color w:val="auto"/>
          <w:sz w:val="24"/>
          <w:szCs w:val="24"/>
          <w:highlight w:val="none"/>
        </w:rPr>
      </w:pPr>
      <w:r>
        <w:rPr>
          <w:rFonts w:hint="eastAsia" w:ascii="宋体" w:hAnsi="宋体"/>
          <w:bCs/>
          <w:color w:val="auto"/>
          <w:sz w:val="24"/>
          <w:szCs w:val="24"/>
          <w:highlight w:val="none"/>
        </w:rPr>
        <w:t>1.合同总价：人民币（大写）</w:t>
      </w:r>
      <w:r>
        <w:rPr>
          <w:rFonts w:hint="eastAsia" w:ascii="宋体" w:hAnsi="宋体"/>
          <w:bCs/>
          <w:color w:val="auto"/>
          <w:sz w:val="24"/>
          <w:szCs w:val="24"/>
          <w:highlight w:val="none"/>
          <w:u w:val="single"/>
        </w:rPr>
        <w:t xml:space="preserve">                  </w:t>
      </w:r>
      <w:r>
        <w:rPr>
          <w:rFonts w:hint="eastAsia" w:ascii="宋体" w:hAnsi="宋体"/>
          <w:bCs/>
          <w:color w:val="auto"/>
          <w:sz w:val="24"/>
          <w:szCs w:val="24"/>
          <w:highlight w:val="none"/>
        </w:rPr>
        <w:t>元，（￥</w:t>
      </w:r>
      <w:r>
        <w:rPr>
          <w:rFonts w:hint="eastAsia" w:ascii="宋体" w:hAnsi="宋体"/>
          <w:bCs/>
          <w:color w:val="auto"/>
          <w:sz w:val="24"/>
          <w:szCs w:val="24"/>
          <w:highlight w:val="none"/>
          <w:u w:val="single"/>
        </w:rPr>
        <w:t xml:space="preserve">            </w:t>
      </w:r>
      <w:r>
        <w:rPr>
          <w:rFonts w:hint="eastAsia" w:ascii="宋体" w:hAnsi="宋体"/>
          <w:bCs/>
          <w:color w:val="auto"/>
          <w:sz w:val="24"/>
          <w:szCs w:val="24"/>
          <w:highlight w:val="none"/>
        </w:rPr>
        <w:t>）。</w:t>
      </w:r>
    </w:p>
    <w:p w14:paraId="2F8B6EB7">
      <w:pPr>
        <w:pStyle w:val="12"/>
        <w:spacing w:line="360" w:lineRule="auto"/>
        <w:ind w:firstLine="410" w:firstLineChars="171"/>
        <w:rPr>
          <w:rFonts w:hint="eastAsia" w:ascii="宋体" w:hAnsi="宋体"/>
          <w:bCs/>
          <w:color w:val="auto"/>
          <w:sz w:val="24"/>
          <w:szCs w:val="24"/>
          <w:highlight w:val="none"/>
        </w:rPr>
      </w:pPr>
      <w:r>
        <w:rPr>
          <w:rFonts w:hint="eastAsia" w:ascii="宋体" w:hAnsi="宋体"/>
          <w:bCs/>
          <w:color w:val="auto"/>
          <w:sz w:val="24"/>
          <w:szCs w:val="24"/>
          <w:highlight w:val="none"/>
        </w:rPr>
        <w:t>2.本合同总价是货物（产品）设计、材料、制造、包装、运输、安装、调试、检测、验收合格交付使用之前及保修期内保修服务与备用物件等其他有关各项的含税费用。</w:t>
      </w:r>
    </w:p>
    <w:p w14:paraId="01B51F3A">
      <w:pPr>
        <w:pStyle w:val="12"/>
        <w:spacing w:line="360" w:lineRule="auto"/>
        <w:ind w:firstLine="410" w:firstLineChars="171"/>
        <w:rPr>
          <w:rFonts w:hint="eastAsia" w:ascii="宋体" w:hAnsi="宋体"/>
          <w:bCs/>
          <w:color w:val="auto"/>
          <w:sz w:val="24"/>
          <w:szCs w:val="24"/>
          <w:highlight w:val="none"/>
        </w:rPr>
      </w:pPr>
      <w:r>
        <w:rPr>
          <w:rFonts w:hint="eastAsia" w:ascii="宋体" w:hAnsi="宋体"/>
          <w:bCs/>
          <w:color w:val="auto"/>
          <w:sz w:val="24"/>
          <w:szCs w:val="24"/>
          <w:highlight w:val="none"/>
        </w:rPr>
        <w:t>3.本合同总价还包含乙方应当提供的伴随服务和售后服务费用。</w:t>
      </w:r>
    </w:p>
    <w:p w14:paraId="3EA018B8">
      <w:pPr>
        <w:pStyle w:val="12"/>
        <w:spacing w:line="360" w:lineRule="auto"/>
        <w:ind w:firstLine="410" w:firstLineChars="171"/>
        <w:rPr>
          <w:rFonts w:hint="eastAsia" w:ascii="宋体" w:hAnsi="宋体"/>
          <w:bCs/>
          <w:color w:val="auto"/>
          <w:sz w:val="24"/>
          <w:szCs w:val="24"/>
          <w:highlight w:val="none"/>
        </w:rPr>
      </w:pPr>
      <w:r>
        <w:rPr>
          <w:rFonts w:hint="eastAsia" w:ascii="宋体" w:hAnsi="宋体"/>
          <w:bCs/>
          <w:color w:val="auto"/>
          <w:sz w:val="24"/>
          <w:szCs w:val="24"/>
          <w:highlight w:val="none"/>
        </w:rPr>
        <w:t>4.本合同执行期间合同总价不变，甲方无须另向乙方支付本合同规定之外的其他任何费用。</w:t>
      </w:r>
    </w:p>
    <w:p w14:paraId="48B45E44">
      <w:pPr>
        <w:pStyle w:val="12"/>
        <w:spacing w:before="120" w:beforeLines="50" w:after="120" w:afterLines="50" w:line="360" w:lineRule="auto"/>
        <w:ind w:firstLine="398" w:firstLineChars="166"/>
        <w:rPr>
          <w:rFonts w:hint="eastAsia" w:ascii="Times New Roman" w:hAnsi="Times New Roman" w:eastAsia="宋体" w:cs="Times New Roman"/>
          <w:bCs/>
          <w:color w:val="auto"/>
          <w:kern w:val="2"/>
          <w:sz w:val="24"/>
          <w:szCs w:val="24"/>
          <w:highlight w:val="none"/>
          <w:lang w:val="en-US" w:eastAsia="zh-CN" w:bidi="ar-SA"/>
        </w:rPr>
      </w:pPr>
      <w:bookmarkStart w:id="4" w:name="_Toc4560_WPSOffice_Level2"/>
      <w:r>
        <w:rPr>
          <w:rFonts w:hint="eastAsia" w:ascii="Times New Roman" w:hAnsi="Times New Roman" w:eastAsia="宋体" w:cs="Times New Roman"/>
          <w:bCs/>
          <w:color w:val="auto"/>
          <w:kern w:val="2"/>
          <w:sz w:val="24"/>
          <w:szCs w:val="24"/>
          <w:highlight w:val="none"/>
          <w:lang w:val="en-US" w:eastAsia="zh-CN" w:bidi="ar-SA"/>
        </w:rPr>
        <w:t>第三条 货款支付</w:t>
      </w:r>
      <w:bookmarkEnd w:id="4"/>
    </w:p>
    <w:p w14:paraId="39BFE2D3">
      <w:pPr>
        <w:pStyle w:val="12"/>
        <w:spacing w:line="360" w:lineRule="auto"/>
        <w:ind w:firstLine="650" w:firstLineChars="271"/>
        <w:rPr>
          <w:rFonts w:hint="eastAsia" w:ascii="宋体" w:hAnsi="宋体"/>
          <w:bCs/>
          <w:color w:val="auto"/>
          <w:sz w:val="24"/>
          <w:szCs w:val="24"/>
          <w:highlight w:val="none"/>
        </w:rPr>
      </w:pPr>
      <w:r>
        <w:rPr>
          <w:rFonts w:hint="eastAsia" w:ascii="宋体" w:hAnsi="宋体"/>
          <w:bCs/>
          <w:color w:val="auto"/>
          <w:sz w:val="24"/>
          <w:szCs w:val="24"/>
          <w:highlight w:val="none"/>
        </w:rPr>
        <w:t>1.货物（产品）按下列比例支付价款：</w:t>
      </w:r>
    </w:p>
    <w:tbl>
      <w:tblPr>
        <w:tblStyle w:val="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481"/>
        <w:gridCol w:w="2646"/>
        <w:gridCol w:w="2707"/>
        <w:gridCol w:w="2698"/>
      </w:tblGrid>
      <w:tr w14:paraId="3C6F8A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blHeader/>
        </w:trPr>
        <w:tc>
          <w:tcPr>
            <w:tcW w:w="481" w:type="dxa"/>
            <w:tcBorders>
              <w:top w:val="single" w:color="333333" w:sz="6" w:space="0"/>
              <w:left w:val="single" w:color="333333" w:sz="6" w:space="0"/>
              <w:bottom w:val="single" w:color="333333" w:sz="6" w:space="0"/>
              <w:right w:val="single" w:color="333333" w:sz="6" w:space="0"/>
            </w:tcBorders>
            <w:shd w:val="clear" w:color="auto" w:fill="E2E2E2"/>
            <w:noWrap w:val="0"/>
            <w:tcMar>
              <w:top w:w="75" w:type="dxa"/>
              <w:left w:w="120" w:type="dxa"/>
              <w:bottom w:w="75" w:type="dxa"/>
              <w:right w:w="120" w:type="dxa"/>
            </w:tcMar>
            <w:vAlign w:val="center"/>
          </w:tcPr>
          <w:p w14:paraId="726EAED1">
            <w:pPr>
              <w:keepNext w:val="0"/>
              <w:keepLines w:val="0"/>
              <w:widowControl/>
              <w:suppressLineNumbers w:val="0"/>
              <w:wordWrap/>
              <w:spacing w:before="0" w:beforeAutospacing="0" w:after="0" w:afterAutospacing="0" w:line="360" w:lineRule="atLeast"/>
              <w:ind w:left="0" w:right="0"/>
              <w:jc w:val="center"/>
              <w:rPr>
                <w:b/>
                <w:color w:val="auto"/>
                <w:sz w:val="24"/>
                <w:szCs w:val="24"/>
              </w:rPr>
            </w:pPr>
            <w:r>
              <w:rPr>
                <w:rFonts w:ascii="宋体" w:hAnsi="宋体" w:eastAsia="宋体" w:cs="宋体"/>
                <w:b/>
                <w:color w:val="auto"/>
                <w:kern w:val="0"/>
                <w:sz w:val="24"/>
                <w:szCs w:val="24"/>
                <w:lang w:val="en-US" w:eastAsia="zh-CN" w:bidi="ar"/>
              </w:rPr>
              <w:t>序号</w:t>
            </w:r>
          </w:p>
        </w:tc>
        <w:tc>
          <w:tcPr>
            <w:tcW w:w="2646" w:type="dxa"/>
            <w:tcBorders>
              <w:top w:val="single" w:color="333333" w:sz="6" w:space="0"/>
              <w:left w:val="single" w:color="333333" w:sz="6" w:space="0"/>
              <w:bottom w:val="single" w:color="333333" w:sz="6" w:space="0"/>
              <w:right w:val="single" w:color="333333" w:sz="6" w:space="0"/>
            </w:tcBorders>
            <w:shd w:val="clear" w:color="auto" w:fill="E2E2E2"/>
            <w:noWrap w:val="0"/>
            <w:tcMar>
              <w:top w:w="75" w:type="dxa"/>
              <w:left w:w="120" w:type="dxa"/>
              <w:bottom w:w="75" w:type="dxa"/>
              <w:right w:w="120" w:type="dxa"/>
            </w:tcMar>
            <w:vAlign w:val="center"/>
          </w:tcPr>
          <w:p w14:paraId="54212056">
            <w:pPr>
              <w:keepNext w:val="0"/>
              <w:keepLines w:val="0"/>
              <w:widowControl/>
              <w:suppressLineNumbers w:val="0"/>
              <w:wordWrap/>
              <w:spacing w:before="0" w:beforeAutospacing="0" w:after="0" w:afterAutospacing="0" w:line="360" w:lineRule="atLeast"/>
              <w:ind w:left="0" w:right="0"/>
              <w:jc w:val="center"/>
              <w:rPr>
                <w:b/>
                <w:color w:val="auto"/>
                <w:sz w:val="24"/>
                <w:szCs w:val="24"/>
              </w:rPr>
            </w:pPr>
            <w:r>
              <w:rPr>
                <w:rFonts w:hint="eastAsia" w:ascii="宋体" w:hAnsi="宋体" w:eastAsia="宋体" w:cs="宋体"/>
                <w:b/>
                <w:color w:val="auto"/>
                <w:kern w:val="0"/>
                <w:sz w:val="24"/>
                <w:szCs w:val="24"/>
                <w:lang w:val="en-US" w:eastAsia="zh-CN" w:bidi="ar"/>
              </w:rPr>
              <w:t>付款条件</w:t>
            </w:r>
          </w:p>
        </w:tc>
        <w:tc>
          <w:tcPr>
            <w:tcW w:w="2707" w:type="dxa"/>
            <w:tcBorders>
              <w:top w:val="single" w:color="333333" w:sz="6" w:space="0"/>
              <w:left w:val="single" w:color="333333" w:sz="6" w:space="0"/>
              <w:bottom w:val="single" w:color="333333" w:sz="6" w:space="0"/>
              <w:right w:val="single" w:color="333333" w:sz="6" w:space="0"/>
            </w:tcBorders>
            <w:shd w:val="clear" w:color="auto" w:fill="E2E2E2"/>
            <w:noWrap w:val="0"/>
            <w:tcMar>
              <w:top w:w="75" w:type="dxa"/>
              <w:left w:w="120" w:type="dxa"/>
              <w:bottom w:w="75" w:type="dxa"/>
              <w:right w:w="120" w:type="dxa"/>
            </w:tcMar>
            <w:vAlign w:val="center"/>
          </w:tcPr>
          <w:p w14:paraId="1B3C108B">
            <w:pPr>
              <w:keepNext w:val="0"/>
              <w:keepLines w:val="0"/>
              <w:widowControl/>
              <w:suppressLineNumbers w:val="0"/>
              <w:wordWrap/>
              <w:spacing w:before="0" w:beforeAutospacing="0" w:after="0" w:afterAutospacing="0" w:line="360" w:lineRule="atLeast"/>
              <w:ind w:left="0" w:leftChars="0" w:right="0" w:rightChars="0"/>
              <w:jc w:val="center"/>
              <w:rPr>
                <w:b/>
                <w:color w:val="auto"/>
                <w:sz w:val="24"/>
                <w:szCs w:val="24"/>
              </w:rPr>
            </w:pPr>
            <w:r>
              <w:rPr>
                <w:rFonts w:hint="eastAsia" w:ascii="宋体" w:hAnsi="宋体" w:eastAsia="宋体" w:cs="宋体"/>
                <w:b/>
                <w:color w:val="auto"/>
                <w:kern w:val="0"/>
                <w:sz w:val="24"/>
                <w:szCs w:val="24"/>
                <w:lang w:val="en-US" w:eastAsia="zh-CN" w:bidi="ar"/>
              </w:rPr>
              <w:t>达到付款条件起XX日</w:t>
            </w:r>
          </w:p>
        </w:tc>
        <w:tc>
          <w:tcPr>
            <w:tcW w:w="2698" w:type="dxa"/>
            <w:tcBorders>
              <w:top w:val="single" w:color="333333" w:sz="6" w:space="0"/>
              <w:left w:val="single" w:color="333333" w:sz="6" w:space="0"/>
              <w:bottom w:val="single" w:color="333333" w:sz="6" w:space="0"/>
              <w:right w:val="single" w:color="333333" w:sz="6" w:space="0"/>
            </w:tcBorders>
            <w:shd w:val="clear" w:color="auto" w:fill="E2E2E2"/>
            <w:noWrap w:val="0"/>
            <w:tcMar>
              <w:top w:w="75" w:type="dxa"/>
              <w:left w:w="120" w:type="dxa"/>
              <w:bottom w:w="75" w:type="dxa"/>
              <w:right w:w="120" w:type="dxa"/>
            </w:tcMar>
            <w:vAlign w:val="center"/>
          </w:tcPr>
          <w:p w14:paraId="0AB84CFB">
            <w:pPr>
              <w:keepNext w:val="0"/>
              <w:keepLines w:val="0"/>
              <w:widowControl/>
              <w:suppressLineNumbers w:val="0"/>
              <w:wordWrap/>
              <w:spacing w:before="0" w:beforeAutospacing="0" w:after="0" w:afterAutospacing="0" w:line="360" w:lineRule="atLeast"/>
              <w:ind w:left="0" w:leftChars="0" w:right="0" w:rightChars="0"/>
              <w:jc w:val="center"/>
              <w:rPr>
                <w:rFonts w:ascii="宋体" w:hAnsi="宋体" w:eastAsia="宋体" w:cs="宋体"/>
                <w:b/>
                <w:color w:val="auto"/>
                <w:kern w:val="0"/>
                <w:sz w:val="24"/>
                <w:szCs w:val="24"/>
                <w:lang w:val="en-US" w:eastAsia="zh-CN" w:bidi="ar"/>
              </w:rPr>
            </w:pPr>
            <w:r>
              <w:rPr>
                <w:rFonts w:hint="eastAsia" w:ascii="宋体" w:hAnsi="宋体" w:eastAsia="宋体" w:cs="宋体"/>
                <w:b/>
                <w:color w:val="auto"/>
                <w:kern w:val="0"/>
                <w:sz w:val="24"/>
                <w:szCs w:val="24"/>
                <w:lang w:val="en-US" w:eastAsia="zh-CN" w:bidi="ar"/>
              </w:rPr>
              <w:t>支付合同总金额XX%</w:t>
            </w:r>
          </w:p>
        </w:tc>
      </w:tr>
      <w:tr w14:paraId="407AB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481"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229542E8">
            <w:pPr>
              <w:keepNext w:val="0"/>
              <w:keepLines w:val="0"/>
              <w:widowControl/>
              <w:suppressLineNumbers w:val="0"/>
              <w:wordWrap w:val="0"/>
              <w:spacing w:before="0" w:beforeAutospacing="0" w:after="0" w:afterAutospacing="0" w:line="360" w:lineRule="atLeast"/>
              <w:ind w:left="0" w:right="0"/>
              <w:jc w:val="left"/>
              <w:rPr>
                <w:color w:val="auto"/>
                <w:sz w:val="24"/>
                <w:szCs w:val="24"/>
                <w:highlight w:val="none"/>
              </w:rPr>
            </w:pPr>
            <w:r>
              <w:rPr>
                <w:rFonts w:ascii="宋体" w:hAnsi="宋体" w:eastAsia="宋体" w:cs="宋体"/>
                <w:color w:val="auto"/>
                <w:kern w:val="0"/>
                <w:sz w:val="24"/>
                <w:szCs w:val="24"/>
                <w:highlight w:val="none"/>
                <w:lang w:val="en-US" w:eastAsia="zh-CN" w:bidi="ar"/>
              </w:rPr>
              <w:t>1</w:t>
            </w:r>
          </w:p>
        </w:tc>
        <w:tc>
          <w:tcPr>
            <w:tcW w:w="2646"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1A33D201">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 w:lineRule="atLeast"/>
              <w:ind w:right="0"/>
              <w:jc w:val="center"/>
              <w:rPr>
                <w:rFonts w:hint="eastAsia" w:ascii="宋体" w:hAnsi="宋体" w:eastAsia="宋体" w:cs="宋体"/>
                <w:i w:val="0"/>
                <w:caps w:val="0"/>
                <w:color w:val="auto"/>
                <w:spacing w:val="0"/>
                <w:sz w:val="24"/>
                <w:szCs w:val="24"/>
                <w:highlight w:val="none"/>
                <w:shd w:val="clear" w:color="auto" w:fill="FFFFFF"/>
                <w:lang w:val="en-US" w:eastAsia="zh-CN"/>
              </w:rPr>
            </w:pPr>
            <w:r>
              <w:rPr>
                <w:rFonts w:hint="eastAsia" w:ascii="宋体" w:hAnsi="宋体" w:eastAsia="宋体" w:cs="宋体"/>
                <w:i w:val="0"/>
                <w:caps w:val="0"/>
                <w:color w:val="auto"/>
                <w:spacing w:val="0"/>
                <w:sz w:val="24"/>
                <w:szCs w:val="24"/>
                <w:highlight w:val="none"/>
                <w:shd w:val="clear" w:color="auto" w:fill="FFFFFF"/>
                <w:lang w:val="en-US" w:eastAsia="zh-CN"/>
              </w:rPr>
              <w:t>合同签订生效后</w:t>
            </w:r>
          </w:p>
        </w:tc>
        <w:tc>
          <w:tcPr>
            <w:tcW w:w="2707"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1EAC7CFF">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 w:lineRule="atLeast"/>
              <w:ind w:right="0"/>
              <w:jc w:val="center"/>
              <w:rPr>
                <w:rFonts w:hint="default" w:ascii="宋体" w:hAnsi="宋体" w:eastAsia="宋体" w:cs="宋体"/>
                <w:i w:val="0"/>
                <w:caps w:val="0"/>
                <w:color w:val="auto"/>
                <w:spacing w:val="0"/>
                <w:sz w:val="24"/>
                <w:szCs w:val="24"/>
                <w:highlight w:val="none"/>
                <w:shd w:val="clear" w:color="auto" w:fill="FFFFFF"/>
                <w:lang w:val="en-US" w:eastAsia="zh-CN"/>
              </w:rPr>
            </w:pPr>
            <w:r>
              <w:rPr>
                <w:rFonts w:hint="eastAsia" w:ascii="宋体" w:hAnsi="宋体" w:cs="宋体"/>
                <w:i w:val="0"/>
                <w:caps w:val="0"/>
                <w:color w:val="auto"/>
                <w:spacing w:val="0"/>
                <w:sz w:val="24"/>
                <w:szCs w:val="24"/>
                <w:highlight w:val="none"/>
                <w:shd w:val="clear" w:color="auto" w:fill="FFFFFF"/>
                <w:lang w:val="en-US" w:eastAsia="zh-CN"/>
              </w:rPr>
              <w:t>7日</w:t>
            </w:r>
          </w:p>
        </w:tc>
        <w:tc>
          <w:tcPr>
            <w:tcW w:w="2698"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1D00A8F7">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 w:lineRule="atLeast"/>
              <w:ind w:right="0"/>
              <w:jc w:val="center"/>
              <w:rPr>
                <w:rFonts w:hint="default" w:ascii="宋体" w:hAnsi="宋体" w:eastAsia="宋体" w:cs="宋体"/>
                <w:i w:val="0"/>
                <w:caps w:val="0"/>
                <w:color w:val="auto"/>
                <w:spacing w:val="0"/>
                <w:sz w:val="24"/>
                <w:szCs w:val="24"/>
                <w:highlight w:val="none"/>
                <w:shd w:val="clear" w:color="auto" w:fill="FFFFFF"/>
                <w:lang w:val="en-US" w:eastAsia="zh-CN"/>
              </w:rPr>
            </w:pPr>
            <w:r>
              <w:rPr>
                <w:rFonts w:hint="eastAsia" w:ascii="宋体" w:hAnsi="宋体" w:cs="宋体"/>
                <w:i w:val="0"/>
                <w:caps w:val="0"/>
                <w:color w:val="auto"/>
                <w:spacing w:val="0"/>
                <w:sz w:val="24"/>
                <w:szCs w:val="24"/>
                <w:highlight w:val="none"/>
                <w:shd w:val="clear" w:color="auto" w:fill="FFFFFF"/>
                <w:lang w:val="en-US" w:eastAsia="zh-CN"/>
              </w:rPr>
              <w:t>30%</w:t>
            </w:r>
          </w:p>
        </w:tc>
      </w:tr>
      <w:tr w14:paraId="47AA6E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481"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5C193885">
            <w:pPr>
              <w:keepNext w:val="0"/>
              <w:keepLines w:val="0"/>
              <w:widowControl/>
              <w:suppressLineNumbers w:val="0"/>
              <w:wordWrap w:val="0"/>
              <w:spacing w:before="0" w:beforeAutospacing="0" w:after="0" w:afterAutospacing="0" w:line="360" w:lineRule="atLeast"/>
              <w:ind w:left="0" w:right="0"/>
              <w:jc w:val="left"/>
              <w:rPr>
                <w:rFonts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2</w:t>
            </w:r>
          </w:p>
        </w:tc>
        <w:tc>
          <w:tcPr>
            <w:tcW w:w="2646"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6E8EDB7E">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 w:lineRule="atLeast"/>
              <w:ind w:right="0"/>
              <w:jc w:val="center"/>
              <w:rPr>
                <w:rFonts w:hint="default" w:ascii="宋体" w:hAnsi="宋体" w:eastAsia="宋体" w:cs="宋体"/>
                <w:i w:val="0"/>
                <w:caps w:val="0"/>
                <w:color w:val="auto"/>
                <w:spacing w:val="0"/>
                <w:sz w:val="24"/>
                <w:szCs w:val="24"/>
                <w:highlight w:val="none"/>
                <w:shd w:val="clear" w:color="auto" w:fill="FFFFFF"/>
                <w:lang w:val="en-US" w:eastAsia="zh-CN"/>
              </w:rPr>
            </w:pPr>
            <w:r>
              <w:rPr>
                <w:rFonts w:hint="eastAsia" w:ascii="宋体" w:hAnsi="宋体" w:cs="宋体"/>
                <w:i w:val="0"/>
                <w:caps w:val="0"/>
                <w:color w:val="auto"/>
                <w:spacing w:val="0"/>
                <w:sz w:val="24"/>
                <w:szCs w:val="24"/>
                <w:highlight w:val="none"/>
                <w:shd w:val="clear" w:color="auto" w:fill="FFFFFF"/>
                <w:lang w:val="en-US" w:eastAsia="zh-CN"/>
              </w:rPr>
              <w:t>到货后</w:t>
            </w:r>
          </w:p>
        </w:tc>
        <w:tc>
          <w:tcPr>
            <w:tcW w:w="2707"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4BACEB7F">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 w:lineRule="atLeast"/>
              <w:ind w:right="0"/>
              <w:jc w:val="center"/>
              <w:rPr>
                <w:rFonts w:hint="default" w:ascii="宋体" w:hAnsi="宋体" w:eastAsia="宋体" w:cs="宋体"/>
                <w:i w:val="0"/>
                <w:caps w:val="0"/>
                <w:color w:val="auto"/>
                <w:spacing w:val="0"/>
                <w:sz w:val="24"/>
                <w:szCs w:val="24"/>
                <w:highlight w:val="none"/>
                <w:shd w:val="clear" w:color="auto" w:fill="FFFFFF"/>
                <w:lang w:val="en-US" w:eastAsia="zh-CN"/>
              </w:rPr>
            </w:pPr>
            <w:r>
              <w:rPr>
                <w:rFonts w:hint="eastAsia" w:ascii="宋体" w:hAnsi="宋体" w:cs="宋体"/>
                <w:i w:val="0"/>
                <w:caps w:val="0"/>
                <w:color w:val="auto"/>
                <w:spacing w:val="0"/>
                <w:sz w:val="24"/>
                <w:szCs w:val="24"/>
                <w:highlight w:val="none"/>
                <w:shd w:val="clear" w:color="auto" w:fill="FFFFFF"/>
                <w:lang w:val="en-US" w:eastAsia="zh-CN"/>
              </w:rPr>
              <w:t>7日</w:t>
            </w:r>
          </w:p>
        </w:tc>
        <w:tc>
          <w:tcPr>
            <w:tcW w:w="2698"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31198CA4">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 w:lineRule="atLeast"/>
              <w:ind w:right="0"/>
              <w:jc w:val="center"/>
              <w:rPr>
                <w:rFonts w:hint="default" w:ascii="宋体" w:hAnsi="宋体" w:eastAsia="宋体" w:cs="宋体"/>
                <w:i w:val="0"/>
                <w:caps w:val="0"/>
                <w:color w:val="auto"/>
                <w:spacing w:val="0"/>
                <w:sz w:val="24"/>
                <w:szCs w:val="24"/>
                <w:highlight w:val="none"/>
                <w:shd w:val="clear" w:color="auto" w:fill="FFFFFF"/>
                <w:lang w:val="en-US" w:eastAsia="zh-CN"/>
              </w:rPr>
            </w:pPr>
            <w:r>
              <w:rPr>
                <w:rFonts w:hint="eastAsia" w:ascii="宋体" w:hAnsi="宋体" w:cs="宋体"/>
                <w:i w:val="0"/>
                <w:caps w:val="0"/>
                <w:color w:val="auto"/>
                <w:spacing w:val="0"/>
                <w:sz w:val="24"/>
                <w:szCs w:val="24"/>
                <w:highlight w:val="none"/>
                <w:shd w:val="clear" w:color="auto" w:fill="FFFFFF"/>
                <w:lang w:val="en-US" w:eastAsia="zh-CN"/>
              </w:rPr>
              <w:t>65%</w:t>
            </w:r>
          </w:p>
        </w:tc>
      </w:tr>
      <w:tr w14:paraId="22540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481"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0D64B748">
            <w:pPr>
              <w:keepNext w:val="0"/>
              <w:keepLines w:val="0"/>
              <w:widowControl/>
              <w:suppressLineNumbers w:val="0"/>
              <w:wordWrap w:val="0"/>
              <w:spacing w:before="0" w:beforeAutospacing="0" w:after="0" w:afterAutospacing="0" w:line="360" w:lineRule="atLeast"/>
              <w:ind w:left="0" w:right="0"/>
              <w:jc w:val="left"/>
              <w:rPr>
                <w:rFonts w:hint="default" w:ascii="宋体" w:hAnsi="宋体" w:eastAsia="宋体" w:cs="宋体"/>
                <w:color w:val="auto"/>
                <w:kern w:val="0"/>
                <w:sz w:val="24"/>
                <w:szCs w:val="24"/>
                <w:highlight w:val="none"/>
                <w:lang w:val="en-US" w:eastAsia="zh-CN" w:bidi="ar"/>
              </w:rPr>
            </w:pPr>
            <w:r>
              <w:rPr>
                <w:rFonts w:hint="eastAsia" w:ascii="宋体" w:hAnsi="宋体" w:cs="宋体"/>
                <w:color w:val="auto"/>
                <w:kern w:val="0"/>
                <w:sz w:val="24"/>
                <w:szCs w:val="24"/>
                <w:highlight w:val="none"/>
                <w:lang w:val="en-US" w:eastAsia="zh-CN" w:bidi="ar"/>
              </w:rPr>
              <w:t>3</w:t>
            </w:r>
          </w:p>
        </w:tc>
        <w:tc>
          <w:tcPr>
            <w:tcW w:w="2646"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1E064A12">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 w:lineRule="atLeast"/>
              <w:ind w:right="0"/>
              <w:jc w:val="center"/>
              <w:rPr>
                <w:rFonts w:hint="default" w:ascii="宋体" w:hAnsi="宋体" w:cs="宋体"/>
                <w:i w:val="0"/>
                <w:caps w:val="0"/>
                <w:color w:val="auto"/>
                <w:spacing w:val="0"/>
                <w:sz w:val="24"/>
                <w:szCs w:val="24"/>
                <w:highlight w:val="none"/>
                <w:shd w:val="clear" w:color="auto" w:fill="FFFFFF"/>
                <w:lang w:val="en-US" w:eastAsia="zh-CN"/>
              </w:rPr>
            </w:pPr>
            <w:r>
              <w:rPr>
                <w:rFonts w:hint="eastAsia" w:ascii="宋体" w:hAnsi="宋体" w:cs="宋体"/>
                <w:i w:val="0"/>
                <w:caps w:val="0"/>
                <w:color w:val="auto"/>
                <w:spacing w:val="0"/>
                <w:sz w:val="24"/>
                <w:szCs w:val="24"/>
                <w:highlight w:val="none"/>
                <w:shd w:val="clear" w:color="auto" w:fill="FFFFFF"/>
                <w:lang w:val="en-US" w:eastAsia="zh-CN"/>
              </w:rPr>
              <w:t>质保期满后</w:t>
            </w:r>
          </w:p>
        </w:tc>
        <w:tc>
          <w:tcPr>
            <w:tcW w:w="2707"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411BF402">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 w:lineRule="atLeast"/>
              <w:ind w:right="0"/>
              <w:jc w:val="center"/>
              <w:rPr>
                <w:rFonts w:hint="eastAsia" w:ascii="宋体" w:hAnsi="宋体" w:cs="宋体"/>
                <w:i w:val="0"/>
                <w:caps w:val="0"/>
                <w:color w:val="auto"/>
                <w:spacing w:val="0"/>
                <w:sz w:val="24"/>
                <w:szCs w:val="24"/>
                <w:highlight w:val="none"/>
                <w:shd w:val="clear" w:color="auto" w:fill="FFFFFF"/>
                <w:lang w:val="en-US" w:eastAsia="zh-CN"/>
              </w:rPr>
            </w:pPr>
            <w:r>
              <w:rPr>
                <w:rFonts w:hint="eastAsia" w:ascii="宋体" w:hAnsi="宋体" w:cs="宋体"/>
                <w:i w:val="0"/>
                <w:caps w:val="0"/>
                <w:color w:val="auto"/>
                <w:spacing w:val="0"/>
                <w:sz w:val="24"/>
                <w:szCs w:val="24"/>
                <w:highlight w:val="none"/>
                <w:shd w:val="clear" w:color="auto" w:fill="FFFFFF"/>
                <w:lang w:val="en-US" w:eastAsia="zh-CN"/>
              </w:rPr>
              <w:t>7日</w:t>
            </w:r>
          </w:p>
        </w:tc>
        <w:tc>
          <w:tcPr>
            <w:tcW w:w="2698"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3AD7D01D">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 w:lineRule="atLeast"/>
              <w:ind w:right="0"/>
              <w:jc w:val="center"/>
              <w:rPr>
                <w:rFonts w:hint="default" w:ascii="宋体" w:hAnsi="宋体" w:cs="宋体"/>
                <w:i w:val="0"/>
                <w:caps w:val="0"/>
                <w:color w:val="auto"/>
                <w:spacing w:val="0"/>
                <w:sz w:val="24"/>
                <w:szCs w:val="24"/>
                <w:highlight w:val="none"/>
                <w:shd w:val="clear" w:color="auto" w:fill="FFFFFF"/>
                <w:lang w:val="en-US" w:eastAsia="zh-CN"/>
              </w:rPr>
            </w:pPr>
            <w:r>
              <w:rPr>
                <w:rFonts w:hint="eastAsia" w:ascii="宋体" w:hAnsi="宋体" w:cs="宋体"/>
                <w:i w:val="0"/>
                <w:caps w:val="0"/>
                <w:color w:val="auto"/>
                <w:spacing w:val="0"/>
                <w:sz w:val="24"/>
                <w:szCs w:val="24"/>
                <w:highlight w:val="none"/>
                <w:shd w:val="clear" w:color="auto" w:fill="FFFFFF"/>
                <w:lang w:val="en-US" w:eastAsia="zh-CN"/>
              </w:rPr>
              <w:t>5%</w:t>
            </w:r>
          </w:p>
        </w:tc>
      </w:tr>
    </w:tbl>
    <w:p w14:paraId="7BECCC0F">
      <w:pPr>
        <w:pStyle w:val="12"/>
        <w:spacing w:line="360" w:lineRule="auto"/>
        <w:ind w:firstLine="600" w:firstLineChars="250"/>
        <w:rPr>
          <w:rFonts w:hint="eastAsia" w:ascii="宋体" w:hAnsi="宋体"/>
          <w:bCs/>
          <w:color w:val="auto"/>
          <w:sz w:val="24"/>
          <w:szCs w:val="24"/>
          <w:highlight w:val="none"/>
        </w:rPr>
      </w:pPr>
      <w:r>
        <w:rPr>
          <w:rFonts w:hint="eastAsia" w:ascii="宋体" w:hAnsi="宋体"/>
          <w:bCs/>
          <w:color w:val="auto"/>
          <w:sz w:val="24"/>
          <w:szCs w:val="24"/>
          <w:highlight w:val="none"/>
        </w:rPr>
        <w:t>2.乙方须向甲方出具合法有效的完税发票，甲方进行支付结算。</w:t>
      </w:r>
    </w:p>
    <w:p w14:paraId="33D6E02C">
      <w:pPr>
        <w:pStyle w:val="12"/>
        <w:spacing w:line="360" w:lineRule="auto"/>
        <w:ind w:firstLine="600" w:firstLineChars="250"/>
        <w:rPr>
          <w:rFonts w:hint="eastAsia" w:ascii="宋体" w:hAnsi="宋体"/>
          <w:bCs/>
          <w:color w:val="auto"/>
          <w:sz w:val="24"/>
          <w:szCs w:val="24"/>
          <w:highlight w:val="none"/>
        </w:rPr>
      </w:pPr>
      <w:r>
        <w:rPr>
          <w:rFonts w:hint="eastAsia" w:ascii="宋体" w:hAnsi="宋体"/>
          <w:bCs/>
          <w:color w:val="auto"/>
          <w:sz w:val="24"/>
          <w:szCs w:val="24"/>
          <w:highlight w:val="none"/>
        </w:rPr>
        <w:t>3.结算方式：银行转账。</w:t>
      </w:r>
    </w:p>
    <w:p w14:paraId="7DD4700C">
      <w:pPr>
        <w:pStyle w:val="12"/>
        <w:spacing w:before="120" w:beforeLines="50" w:after="120" w:afterLines="50" w:line="360" w:lineRule="auto"/>
        <w:ind w:firstLine="398" w:firstLineChars="166"/>
        <w:rPr>
          <w:rFonts w:hint="eastAsia" w:ascii="Times New Roman" w:hAnsi="Times New Roman" w:eastAsia="宋体" w:cs="Times New Roman"/>
          <w:bCs/>
          <w:color w:val="auto"/>
          <w:kern w:val="2"/>
          <w:sz w:val="24"/>
          <w:szCs w:val="24"/>
          <w:highlight w:val="none"/>
          <w:lang w:val="en-US" w:eastAsia="zh-CN" w:bidi="ar-SA"/>
        </w:rPr>
      </w:pPr>
      <w:bookmarkStart w:id="5" w:name="_Toc30219_WPSOffice_Level2"/>
      <w:r>
        <w:rPr>
          <w:rFonts w:hint="eastAsia" w:ascii="Times New Roman" w:hAnsi="Times New Roman" w:eastAsia="宋体" w:cs="Times New Roman"/>
          <w:bCs/>
          <w:color w:val="auto"/>
          <w:kern w:val="2"/>
          <w:sz w:val="24"/>
          <w:szCs w:val="24"/>
          <w:highlight w:val="none"/>
          <w:lang w:val="en-US" w:eastAsia="zh-CN" w:bidi="ar-SA"/>
        </w:rPr>
        <w:t>第四条 交货时间与地点</w:t>
      </w:r>
      <w:bookmarkEnd w:id="5"/>
    </w:p>
    <w:p w14:paraId="406F6F10">
      <w:pPr>
        <w:pStyle w:val="12"/>
        <w:spacing w:line="360" w:lineRule="auto"/>
        <w:ind w:firstLine="561" w:firstLineChars="0"/>
        <w:rPr>
          <w:rFonts w:hint="eastAsia" w:ascii="宋体" w:hAnsi="宋体"/>
          <w:bCs/>
          <w:color w:val="auto"/>
          <w:sz w:val="24"/>
          <w:szCs w:val="24"/>
          <w:highlight w:val="none"/>
        </w:rPr>
      </w:pPr>
      <w:r>
        <w:rPr>
          <w:rFonts w:hint="eastAsia" w:ascii="宋体" w:hAnsi="宋体"/>
          <w:bCs/>
          <w:color w:val="auto"/>
          <w:sz w:val="24"/>
          <w:szCs w:val="24"/>
          <w:highlight w:val="none"/>
        </w:rPr>
        <w:t>乙方在合同签订生效之日起，按甲方指定时间、地点交货。</w:t>
      </w:r>
    </w:p>
    <w:p w14:paraId="1A27063A">
      <w:pPr>
        <w:pStyle w:val="12"/>
        <w:spacing w:line="360" w:lineRule="auto"/>
        <w:ind w:firstLine="561" w:firstLineChars="0"/>
        <w:rPr>
          <w:rFonts w:hint="eastAsia" w:ascii="宋体" w:hAnsi="宋体"/>
          <w:bCs/>
          <w:color w:val="auto"/>
          <w:sz w:val="24"/>
          <w:szCs w:val="24"/>
          <w:highlight w:val="none"/>
        </w:rPr>
      </w:pPr>
      <w:r>
        <w:rPr>
          <w:rFonts w:hint="eastAsia" w:ascii="宋体" w:hAnsi="宋体"/>
          <w:bCs/>
          <w:color w:val="auto"/>
          <w:sz w:val="24"/>
          <w:szCs w:val="24"/>
          <w:highlight w:val="none"/>
        </w:rPr>
        <w:t>1.交货时间（期限）：</w:t>
      </w:r>
      <w:r>
        <w:rPr>
          <w:rFonts w:hint="eastAsia" w:ascii="宋体" w:hAnsi="宋体"/>
          <w:bCs/>
          <w:color w:val="auto"/>
          <w:sz w:val="24"/>
          <w:szCs w:val="24"/>
          <w:highlight w:val="none"/>
          <w:lang w:eastAsia="zh-CN"/>
        </w:rPr>
        <w:t>自</w:t>
      </w:r>
      <w:r>
        <w:rPr>
          <w:rFonts w:hint="eastAsia" w:ascii="宋体" w:hAnsi="宋体"/>
          <w:bCs/>
          <w:color w:val="auto"/>
          <w:sz w:val="24"/>
          <w:szCs w:val="24"/>
          <w:highlight w:val="none"/>
          <w:lang w:val="en-US" w:eastAsia="zh-CN"/>
        </w:rPr>
        <w:t>合同签订之日起6个月</w:t>
      </w:r>
    </w:p>
    <w:p w14:paraId="72338F31">
      <w:pPr>
        <w:pStyle w:val="12"/>
        <w:spacing w:line="360" w:lineRule="auto"/>
        <w:ind w:firstLine="561" w:firstLineChars="0"/>
        <w:rPr>
          <w:rFonts w:hint="eastAsia" w:ascii="宋体" w:hAnsi="宋体"/>
          <w:bCs/>
          <w:color w:val="auto"/>
          <w:sz w:val="24"/>
          <w:szCs w:val="24"/>
          <w:highlight w:val="none"/>
          <w:lang w:val="en-US" w:eastAsia="zh-CN"/>
        </w:rPr>
      </w:pPr>
      <w:r>
        <w:rPr>
          <w:rFonts w:hint="eastAsia" w:ascii="宋体" w:hAnsi="宋体"/>
          <w:bCs/>
          <w:color w:val="auto"/>
          <w:sz w:val="24"/>
          <w:szCs w:val="24"/>
          <w:highlight w:val="none"/>
        </w:rPr>
        <w:t>2.交货地点：</w:t>
      </w:r>
      <w:r>
        <w:rPr>
          <w:rFonts w:hint="eastAsia" w:ascii="宋体" w:hAnsi="宋体"/>
          <w:bCs/>
          <w:color w:val="auto"/>
          <w:sz w:val="24"/>
          <w:szCs w:val="24"/>
          <w:highlight w:val="none"/>
          <w:lang w:val="en-US" w:eastAsia="zh-CN"/>
        </w:rPr>
        <w:t>甲方指定地点</w:t>
      </w:r>
    </w:p>
    <w:p w14:paraId="04136C3B">
      <w:pPr>
        <w:pStyle w:val="12"/>
        <w:spacing w:before="120" w:beforeLines="50" w:after="120" w:afterLines="50" w:line="360" w:lineRule="auto"/>
        <w:ind w:firstLine="398" w:firstLineChars="166"/>
        <w:rPr>
          <w:rFonts w:hint="eastAsia" w:ascii="Times New Roman" w:hAnsi="Times New Roman" w:eastAsia="宋体" w:cs="Times New Roman"/>
          <w:bCs/>
          <w:color w:val="auto"/>
          <w:kern w:val="2"/>
          <w:sz w:val="24"/>
          <w:szCs w:val="24"/>
          <w:highlight w:val="none"/>
          <w:lang w:val="en-US" w:eastAsia="zh-CN" w:bidi="ar-SA"/>
        </w:rPr>
      </w:pPr>
      <w:bookmarkStart w:id="6" w:name="_Toc19472_WPSOffice_Level2"/>
      <w:r>
        <w:rPr>
          <w:rFonts w:hint="eastAsia" w:ascii="Times New Roman" w:hAnsi="Times New Roman" w:eastAsia="宋体" w:cs="Times New Roman"/>
          <w:bCs/>
          <w:color w:val="auto"/>
          <w:kern w:val="2"/>
          <w:sz w:val="24"/>
          <w:szCs w:val="24"/>
          <w:highlight w:val="none"/>
          <w:lang w:val="en-US" w:eastAsia="zh-CN" w:bidi="ar-SA"/>
        </w:rPr>
        <w:t>第五条 质量保证</w:t>
      </w:r>
      <w:bookmarkEnd w:id="6"/>
    </w:p>
    <w:p w14:paraId="2663EB84">
      <w:pPr>
        <w:pStyle w:val="12"/>
        <w:spacing w:line="360" w:lineRule="auto"/>
        <w:ind w:firstLine="600" w:firstLineChars="250"/>
        <w:rPr>
          <w:rFonts w:hint="eastAsia" w:ascii="宋体" w:hAnsi="宋体"/>
          <w:bCs/>
          <w:color w:val="auto"/>
          <w:sz w:val="24"/>
          <w:szCs w:val="24"/>
          <w:highlight w:val="none"/>
        </w:rPr>
      </w:pPr>
      <w:r>
        <w:rPr>
          <w:rFonts w:hint="eastAsia" w:ascii="宋体" w:hAnsi="宋体"/>
          <w:bCs/>
          <w:color w:val="auto"/>
          <w:sz w:val="24"/>
          <w:szCs w:val="24"/>
          <w:highlight w:val="none"/>
        </w:rPr>
        <w:t>1.乙方须提供全新的、未使用过的合格正品货物（含零部件、配件等），完全符合合同规定的质量、规格和性能的要求。</w:t>
      </w:r>
    </w:p>
    <w:p w14:paraId="33A2424B">
      <w:pPr>
        <w:pStyle w:val="12"/>
        <w:spacing w:line="360" w:lineRule="auto"/>
        <w:ind w:firstLine="600" w:firstLineChars="250"/>
        <w:rPr>
          <w:rFonts w:hint="eastAsia" w:ascii="宋体" w:hAnsi="宋体"/>
          <w:bCs/>
          <w:color w:val="auto"/>
          <w:sz w:val="24"/>
          <w:szCs w:val="24"/>
          <w:highlight w:val="none"/>
        </w:rPr>
      </w:pPr>
      <w:r>
        <w:rPr>
          <w:rFonts w:hint="eastAsia" w:ascii="宋体" w:hAnsi="宋体"/>
          <w:bCs/>
          <w:color w:val="auto"/>
          <w:sz w:val="24"/>
          <w:szCs w:val="24"/>
          <w:highlight w:val="none"/>
        </w:rPr>
        <w:t>2.乙方提供的节能和环保产品必须是列入节能、环保标志产品品目清单中的产品。</w:t>
      </w:r>
    </w:p>
    <w:p w14:paraId="36BBD2DD">
      <w:pPr>
        <w:pStyle w:val="12"/>
        <w:spacing w:line="360" w:lineRule="auto"/>
        <w:ind w:firstLine="600" w:firstLineChars="250"/>
        <w:rPr>
          <w:rFonts w:hint="eastAsia" w:ascii="宋体" w:hAnsi="宋体"/>
          <w:bCs/>
          <w:color w:val="auto"/>
          <w:sz w:val="24"/>
          <w:szCs w:val="24"/>
          <w:highlight w:val="none"/>
        </w:rPr>
      </w:pPr>
      <w:r>
        <w:rPr>
          <w:rFonts w:hint="eastAsia" w:ascii="宋体" w:hAnsi="宋体"/>
          <w:bCs/>
          <w:color w:val="auto"/>
          <w:sz w:val="24"/>
          <w:szCs w:val="24"/>
          <w:highlight w:val="none"/>
        </w:rPr>
        <w:t>3.质量标准按照最新颁布的国家标准、行业标准或制造商企业标准确定，上述标准不一致的，以严格标准为准。</w:t>
      </w:r>
    </w:p>
    <w:p w14:paraId="3FD40A0B">
      <w:pPr>
        <w:pStyle w:val="12"/>
        <w:spacing w:line="360" w:lineRule="auto"/>
        <w:ind w:firstLine="600" w:firstLineChars="250"/>
        <w:rPr>
          <w:rFonts w:hint="eastAsia" w:ascii="宋体" w:hAnsi="宋体"/>
          <w:bCs/>
          <w:color w:val="auto"/>
          <w:sz w:val="24"/>
          <w:szCs w:val="24"/>
          <w:highlight w:val="none"/>
        </w:rPr>
      </w:pPr>
      <w:r>
        <w:rPr>
          <w:rFonts w:hint="eastAsia" w:ascii="宋体" w:hAnsi="宋体"/>
          <w:bCs/>
          <w:color w:val="auto"/>
          <w:sz w:val="24"/>
          <w:szCs w:val="24"/>
          <w:highlight w:val="none"/>
        </w:rPr>
        <w:t>4.乙方所提供货物还应符合国家和陕西省有关安全、环保、节能之规定，“3C”认证的货物（产品）应加贴“3C”认证标志。</w:t>
      </w:r>
    </w:p>
    <w:p w14:paraId="4711928E">
      <w:pPr>
        <w:pStyle w:val="12"/>
        <w:spacing w:line="360" w:lineRule="auto"/>
        <w:ind w:firstLine="600" w:firstLineChars="250"/>
        <w:rPr>
          <w:rFonts w:hint="eastAsia" w:ascii="宋体" w:hAnsi="宋体"/>
          <w:bCs/>
          <w:color w:val="auto"/>
          <w:sz w:val="24"/>
          <w:szCs w:val="24"/>
          <w:highlight w:val="none"/>
        </w:rPr>
      </w:pPr>
      <w:r>
        <w:rPr>
          <w:rFonts w:hint="eastAsia" w:ascii="宋体" w:hAnsi="宋体"/>
          <w:bCs/>
          <w:color w:val="auto"/>
          <w:sz w:val="24"/>
          <w:szCs w:val="24"/>
          <w:highlight w:val="none"/>
        </w:rPr>
        <w:t>5.货物制造质量出现问题，乙方应负责三包（包修、包换、包退），费用由乙方负担，甲方有权到乙方生产场地检查货物质量和生产进度。</w:t>
      </w:r>
    </w:p>
    <w:p w14:paraId="5555982C">
      <w:pPr>
        <w:pStyle w:val="12"/>
        <w:spacing w:before="120" w:beforeLines="50" w:after="120" w:afterLines="50" w:line="360" w:lineRule="auto"/>
        <w:ind w:firstLine="398" w:firstLineChars="166"/>
        <w:rPr>
          <w:rFonts w:hint="eastAsia" w:ascii="Times New Roman" w:hAnsi="Times New Roman" w:eastAsia="宋体" w:cs="Times New Roman"/>
          <w:bCs/>
          <w:color w:val="auto"/>
          <w:kern w:val="2"/>
          <w:sz w:val="24"/>
          <w:szCs w:val="24"/>
          <w:highlight w:val="none"/>
          <w:lang w:val="en-US" w:eastAsia="zh-CN" w:bidi="ar-SA"/>
        </w:rPr>
      </w:pPr>
      <w:bookmarkStart w:id="7" w:name="_Toc26003_WPSOffice_Level2"/>
      <w:r>
        <w:rPr>
          <w:rFonts w:hint="eastAsia" w:ascii="Times New Roman" w:hAnsi="Times New Roman" w:eastAsia="宋体" w:cs="Times New Roman"/>
          <w:bCs/>
          <w:color w:val="auto"/>
          <w:kern w:val="2"/>
          <w:sz w:val="24"/>
          <w:szCs w:val="24"/>
          <w:highlight w:val="none"/>
          <w:lang w:val="en-US" w:eastAsia="zh-CN" w:bidi="ar-SA"/>
        </w:rPr>
        <w:t>第六条 权利保证</w:t>
      </w:r>
      <w:bookmarkEnd w:id="7"/>
    </w:p>
    <w:p w14:paraId="4E97C3CA">
      <w:pPr>
        <w:pStyle w:val="12"/>
        <w:spacing w:line="360" w:lineRule="auto"/>
        <w:ind w:firstLine="600" w:firstLineChars="250"/>
        <w:rPr>
          <w:rFonts w:hint="eastAsia" w:ascii="宋体" w:hAnsi="宋体"/>
          <w:bCs/>
          <w:color w:val="auto"/>
          <w:sz w:val="24"/>
          <w:szCs w:val="24"/>
          <w:highlight w:val="none"/>
        </w:rPr>
      </w:pPr>
      <w:r>
        <w:rPr>
          <w:rFonts w:hint="eastAsia" w:ascii="宋体" w:hAnsi="宋体"/>
          <w:bCs/>
          <w:color w:val="auto"/>
          <w:sz w:val="24"/>
          <w:szCs w:val="24"/>
          <w:highlight w:val="none"/>
        </w:rPr>
        <w:t>1.乙方保证对其出售的货物享有合法的权利。</w:t>
      </w:r>
    </w:p>
    <w:p w14:paraId="2D300BBF">
      <w:pPr>
        <w:pStyle w:val="12"/>
        <w:spacing w:line="360" w:lineRule="auto"/>
        <w:ind w:firstLine="600" w:firstLineChars="250"/>
        <w:rPr>
          <w:rFonts w:hint="eastAsia" w:ascii="宋体" w:hAnsi="宋体"/>
          <w:bCs/>
          <w:color w:val="auto"/>
          <w:sz w:val="24"/>
          <w:szCs w:val="24"/>
          <w:highlight w:val="none"/>
        </w:rPr>
      </w:pPr>
      <w:r>
        <w:rPr>
          <w:rFonts w:hint="eastAsia" w:ascii="宋体" w:hAnsi="宋体"/>
          <w:bCs/>
          <w:color w:val="auto"/>
          <w:sz w:val="24"/>
          <w:szCs w:val="24"/>
          <w:highlight w:val="none"/>
        </w:rPr>
        <w:t>2.乙方保证对其出售的货物上不存在任何未曾向甲方透露的担保物权，如抵押权、质押权、留置权。</w:t>
      </w:r>
    </w:p>
    <w:p w14:paraId="58F7F127">
      <w:pPr>
        <w:pStyle w:val="12"/>
        <w:spacing w:line="360" w:lineRule="auto"/>
        <w:ind w:firstLine="600" w:firstLineChars="250"/>
        <w:rPr>
          <w:rFonts w:hint="eastAsia" w:ascii="宋体" w:hAnsi="宋体"/>
          <w:bCs/>
          <w:color w:val="auto"/>
          <w:sz w:val="24"/>
          <w:szCs w:val="24"/>
          <w:highlight w:val="none"/>
        </w:rPr>
      </w:pPr>
      <w:r>
        <w:rPr>
          <w:rFonts w:hint="eastAsia" w:ascii="宋体" w:hAnsi="宋体"/>
          <w:bCs/>
          <w:color w:val="auto"/>
          <w:sz w:val="24"/>
          <w:szCs w:val="24"/>
          <w:highlight w:val="none"/>
        </w:rPr>
        <w:t>3.乙方保证对其出售的货物或其任何一部分没有侵犯第三方的专利权、版权、商标权或其他权利。</w:t>
      </w:r>
    </w:p>
    <w:p w14:paraId="2B409B19">
      <w:pPr>
        <w:pStyle w:val="12"/>
        <w:spacing w:line="360" w:lineRule="auto"/>
        <w:ind w:left="141" w:leftChars="67" w:firstLine="420"/>
        <w:rPr>
          <w:rFonts w:hint="eastAsia" w:ascii="宋体" w:hAnsi="宋体"/>
          <w:bCs/>
          <w:color w:val="auto"/>
          <w:sz w:val="24"/>
          <w:szCs w:val="24"/>
          <w:highlight w:val="none"/>
        </w:rPr>
      </w:pPr>
      <w:r>
        <w:rPr>
          <w:rFonts w:hint="eastAsia" w:ascii="宋体" w:hAnsi="宋体"/>
          <w:bCs/>
          <w:color w:val="auto"/>
          <w:sz w:val="24"/>
          <w:szCs w:val="24"/>
          <w:highlight w:val="none"/>
        </w:rPr>
        <w:t>4.如甲方在使用该货物构成上述侵权的，则由乙方承担全部责任。</w:t>
      </w:r>
    </w:p>
    <w:p w14:paraId="3C670C55">
      <w:pPr>
        <w:pStyle w:val="12"/>
        <w:spacing w:before="120" w:beforeLines="50" w:after="120" w:afterLines="50" w:line="360" w:lineRule="auto"/>
        <w:ind w:firstLine="398" w:firstLineChars="166"/>
        <w:rPr>
          <w:rFonts w:hint="eastAsia" w:ascii="宋体" w:hAnsi="宋体"/>
          <w:bCs/>
          <w:color w:val="auto"/>
          <w:sz w:val="24"/>
          <w:szCs w:val="24"/>
          <w:highlight w:val="none"/>
        </w:rPr>
      </w:pPr>
      <w:bookmarkStart w:id="8" w:name="_Toc6983_WPSOffice_Level2"/>
      <w:r>
        <w:rPr>
          <w:rFonts w:hint="eastAsia" w:ascii="Times New Roman" w:hAnsi="Times New Roman" w:eastAsia="宋体" w:cs="Times New Roman"/>
          <w:bCs/>
          <w:color w:val="auto"/>
          <w:kern w:val="2"/>
          <w:sz w:val="24"/>
          <w:szCs w:val="24"/>
          <w:highlight w:val="none"/>
          <w:lang w:val="en-US" w:eastAsia="zh-CN" w:bidi="ar-SA"/>
        </w:rPr>
        <w:t>第七条 包装要求与运输方式</w:t>
      </w:r>
      <w:bookmarkEnd w:id="8"/>
      <w:r>
        <w:rPr>
          <w:rFonts w:hint="eastAsia" w:ascii="Times New Roman" w:hAnsi="Times New Roman" w:eastAsia="宋体" w:cs="Times New Roman"/>
          <w:bCs/>
          <w:color w:val="auto"/>
          <w:kern w:val="2"/>
          <w:sz w:val="24"/>
          <w:szCs w:val="24"/>
          <w:highlight w:val="none"/>
          <w:lang w:val="en-US" w:eastAsia="zh-CN" w:bidi="ar-SA"/>
        </w:rPr>
        <w:t xml:space="preserve">  </w:t>
      </w:r>
      <w:r>
        <w:rPr>
          <w:rFonts w:hint="eastAsia" w:ascii="宋体" w:hAnsi="宋体"/>
          <w:bCs/>
          <w:color w:val="auto"/>
          <w:sz w:val="24"/>
          <w:szCs w:val="24"/>
          <w:highlight w:val="none"/>
        </w:rPr>
        <w:t xml:space="preserve"> </w:t>
      </w:r>
    </w:p>
    <w:p w14:paraId="42D665FE">
      <w:pPr>
        <w:pStyle w:val="12"/>
        <w:spacing w:line="360" w:lineRule="auto"/>
        <w:ind w:left="141" w:leftChars="67" w:firstLine="360" w:firstLineChars="150"/>
        <w:rPr>
          <w:rFonts w:hint="eastAsia" w:ascii="宋体" w:hAnsi="宋体"/>
          <w:bCs/>
          <w:color w:val="auto"/>
          <w:sz w:val="24"/>
          <w:szCs w:val="24"/>
          <w:highlight w:val="none"/>
        </w:rPr>
      </w:pPr>
      <w:r>
        <w:rPr>
          <w:rFonts w:hint="eastAsia" w:ascii="宋体" w:hAnsi="宋体"/>
          <w:bCs/>
          <w:color w:val="auto"/>
          <w:sz w:val="24"/>
          <w:szCs w:val="24"/>
          <w:highlight w:val="none"/>
        </w:rPr>
        <w:t>1.除合同另有规定外，乙方提供的全部货物均应按标准保护措施进行包装，该包装应适应于远距离运输、防潮、防震、防锈和防野蛮装卸，以确保货物安全运抵指定地点。</w:t>
      </w:r>
    </w:p>
    <w:p w14:paraId="6BB33A45">
      <w:pPr>
        <w:pStyle w:val="12"/>
        <w:spacing w:line="360" w:lineRule="auto"/>
        <w:ind w:left="141" w:leftChars="67" w:firstLine="360" w:firstLineChars="150"/>
        <w:rPr>
          <w:rFonts w:hint="eastAsia" w:ascii="宋体" w:hAnsi="宋体"/>
          <w:bCs/>
          <w:color w:val="auto"/>
          <w:sz w:val="24"/>
          <w:szCs w:val="24"/>
          <w:highlight w:val="none"/>
        </w:rPr>
      </w:pPr>
      <w:r>
        <w:rPr>
          <w:rFonts w:hint="eastAsia" w:ascii="宋体" w:hAnsi="宋体"/>
          <w:bCs/>
          <w:color w:val="auto"/>
          <w:sz w:val="24"/>
          <w:szCs w:val="24"/>
          <w:highlight w:val="none"/>
        </w:rPr>
        <w:t>2.每一包装单元应附详细的装箱单和质量合格证。</w:t>
      </w:r>
    </w:p>
    <w:p w14:paraId="35327098">
      <w:pPr>
        <w:pStyle w:val="12"/>
        <w:spacing w:line="360" w:lineRule="auto"/>
        <w:ind w:left="141" w:leftChars="67" w:firstLine="360" w:firstLineChars="150"/>
        <w:rPr>
          <w:rFonts w:hint="eastAsia" w:ascii="宋体" w:hAnsi="宋体"/>
          <w:bCs/>
          <w:color w:val="auto"/>
          <w:sz w:val="24"/>
          <w:szCs w:val="24"/>
          <w:highlight w:val="none"/>
        </w:rPr>
      </w:pPr>
      <w:r>
        <w:rPr>
          <w:rFonts w:hint="eastAsia" w:ascii="宋体" w:hAnsi="宋体"/>
          <w:bCs/>
          <w:color w:val="auto"/>
          <w:sz w:val="24"/>
          <w:szCs w:val="24"/>
          <w:highlight w:val="none"/>
        </w:rPr>
        <w:t>3.货物（产品）运输方式：</w:t>
      </w:r>
      <w:r>
        <w:rPr>
          <w:rFonts w:hint="eastAsia" w:ascii="宋体" w:hAnsi="宋体"/>
          <w:bCs/>
          <w:color w:val="auto"/>
          <w:sz w:val="24"/>
          <w:szCs w:val="24"/>
          <w:highlight w:val="none"/>
          <w:u w:val="single"/>
          <w:lang w:val="en-US" w:eastAsia="zh-CN"/>
        </w:rPr>
        <w:t xml:space="preserve">/  </w:t>
      </w:r>
      <w:r>
        <w:rPr>
          <w:rFonts w:hint="eastAsia" w:ascii="宋体" w:hAnsi="宋体"/>
          <w:bCs/>
          <w:color w:val="auto"/>
          <w:sz w:val="24"/>
          <w:szCs w:val="24"/>
          <w:highlight w:val="none"/>
        </w:rPr>
        <w:t>。</w:t>
      </w:r>
    </w:p>
    <w:p w14:paraId="2EFA9D50">
      <w:pPr>
        <w:pStyle w:val="12"/>
        <w:spacing w:line="360" w:lineRule="auto"/>
        <w:ind w:left="141" w:leftChars="67" w:firstLine="360" w:firstLineChars="150"/>
        <w:rPr>
          <w:rFonts w:hint="eastAsia" w:ascii="宋体" w:hAnsi="宋体"/>
          <w:bCs/>
          <w:color w:val="auto"/>
          <w:sz w:val="24"/>
          <w:szCs w:val="24"/>
          <w:highlight w:val="none"/>
        </w:rPr>
      </w:pPr>
      <w:r>
        <w:rPr>
          <w:rFonts w:hint="eastAsia" w:ascii="宋体" w:hAnsi="宋体"/>
          <w:bCs/>
          <w:color w:val="auto"/>
          <w:sz w:val="24"/>
          <w:szCs w:val="24"/>
          <w:highlight w:val="none"/>
        </w:rPr>
        <w:t>4.乙方负责货物（产品）运输，货物运输的合理损耗及计算方法</w:t>
      </w:r>
      <w:r>
        <w:rPr>
          <w:rFonts w:hint="eastAsia" w:ascii="宋体" w:hAnsi="宋体"/>
          <w:bCs/>
          <w:color w:val="auto"/>
          <w:sz w:val="24"/>
          <w:szCs w:val="24"/>
          <w:highlight w:val="none"/>
          <w:u w:val="single"/>
        </w:rPr>
        <w:t>乙方支付</w:t>
      </w:r>
      <w:r>
        <w:rPr>
          <w:rFonts w:hint="eastAsia" w:ascii="宋体" w:hAnsi="宋体"/>
          <w:bCs/>
          <w:color w:val="auto"/>
          <w:sz w:val="24"/>
          <w:szCs w:val="24"/>
          <w:highlight w:val="none"/>
        </w:rPr>
        <w:t>。</w:t>
      </w:r>
    </w:p>
    <w:p w14:paraId="393339AA">
      <w:pPr>
        <w:snapToGrid w:val="0"/>
        <w:spacing w:before="120" w:beforeLines="50" w:after="120" w:afterLines="50" w:line="360" w:lineRule="auto"/>
        <w:ind w:firstLine="360" w:firstLineChars="150"/>
        <w:rPr>
          <w:rFonts w:hint="eastAsia" w:ascii="Times New Roman" w:hAnsi="Times New Roman" w:eastAsia="宋体" w:cs="Times New Roman"/>
          <w:bCs/>
          <w:color w:val="auto"/>
          <w:sz w:val="24"/>
          <w:szCs w:val="24"/>
          <w:highlight w:val="none"/>
        </w:rPr>
      </w:pPr>
      <w:bookmarkStart w:id="9" w:name="_Toc13472_WPSOffice_Level2"/>
      <w:r>
        <w:rPr>
          <w:rFonts w:hint="eastAsia" w:ascii="Times New Roman" w:hAnsi="Times New Roman" w:eastAsia="宋体" w:cs="Times New Roman"/>
          <w:bCs/>
          <w:color w:val="auto"/>
          <w:sz w:val="24"/>
          <w:szCs w:val="24"/>
          <w:highlight w:val="none"/>
        </w:rPr>
        <w:t>第八条 货物验收</w:t>
      </w:r>
      <w:bookmarkEnd w:id="9"/>
    </w:p>
    <w:p w14:paraId="465F6AEF">
      <w:pPr>
        <w:pStyle w:val="12"/>
        <w:spacing w:line="360" w:lineRule="auto"/>
        <w:ind w:left="141" w:leftChars="67" w:firstLine="360" w:firstLineChars="150"/>
        <w:rPr>
          <w:rFonts w:hint="eastAsia" w:ascii="宋体" w:hAnsi="宋体"/>
          <w:bCs/>
          <w:color w:val="auto"/>
          <w:sz w:val="24"/>
          <w:szCs w:val="24"/>
          <w:highlight w:val="none"/>
        </w:rPr>
      </w:pPr>
      <w:r>
        <w:rPr>
          <w:rFonts w:hint="eastAsia" w:ascii="宋体" w:hAnsi="宋体"/>
          <w:bCs/>
          <w:color w:val="auto"/>
          <w:sz w:val="24"/>
          <w:szCs w:val="24"/>
          <w:highlight w:val="none"/>
        </w:rPr>
        <w:t>1.货物验收由甲方组织，乙方配合，并按下列程序进行：</w:t>
      </w:r>
    </w:p>
    <w:p w14:paraId="21F198AC">
      <w:pPr>
        <w:pStyle w:val="12"/>
        <w:spacing w:line="360" w:lineRule="auto"/>
        <w:ind w:firstLine="420"/>
        <w:rPr>
          <w:rFonts w:hint="eastAsia" w:ascii="宋体" w:hAnsi="宋体"/>
          <w:bCs/>
          <w:color w:val="auto"/>
          <w:sz w:val="24"/>
          <w:szCs w:val="24"/>
          <w:highlight w:val="none"/>
        </w:rPr>
      </w:pPr>
      <w:r>
        <w:rPr>
          <w:rFonts w:hint="eastAsia" w:ascii="宋体" w:hAnsi="宋体"/>
          <w:bCs/>
          <w:color w:val="auto"/>
          <w:sz w:val="24"/>
          <w:szCs w:val="24"/>
          <w:highlight w:val="none"/>
        </w:rPr>
        <w:t>（1）交货验收时，乙方须提供质检部门产品抽样检查合格的检测报告（或生产厂家自检报告）及所提供货物（产品）的合格证、装箱清单、配件、随机工具、用户使用手册（产品使用说明书）、保修卡等资料交付给甲方；</w:t>
      </w:r>
    </w:p>
    <w:p w14:paraId="09CF70AE">
      <w:pPr>
        <w:pStyle w:val="12"/>
        <w:spacing w:line="360" w:lineRule="auto"/>
        <w:ind w:firstLine="410" w:firstLineChars="171"/>
        <w:rPr>
          <w:rFonts w:hint="eastAsia" w:ascii="宋体" w:hAnsi="宋体"/>
          <w:bCs/>
          <w:color w:val="auto"/>
          <w:sz w:val="24"/>
          <w:szCs w:val="24"/>
          <w:highlight w:val="none"/>
        </w:rPr>
      </w:pPr>
      <w:r>
        <w:rPr>
          <w:rFonts w:hint="eastAsia" w:ascii="宋体" w:hAnsi="宋体"/>
          <w:bCs/>
          <w:color w:val="auto"/>
          <w:sz w:val="24"/>
          <w:szCs w:val="24"/>
          <w:highlight w:val="none"/>
        </w:rPr>
        <w:t>（2）到货验收 ：货物到达后，按合同第一条款的货物清单和装箱单经行逐一核对，同时检查货物外观，是否有划痕或破损的，并做好相应记录；</w:t>
      </w:r>
    </w:p>
    <w:p w14:paraId="1BDF557B">
      <w:pPr>
        <w:pStyle w:val="12"/>
        <w:spacing w:line="360" w:lineRule="auto"/>
        <w:ind w:firstLine="410" w:firstLineChars="171"/>
        <w:rPr>
          <w:rFonts w:hint="eastAsia" w:ascii="宋体" w:hAnsi="宋体"/>
          <w:bCs/>
          <w:color w:val="auto"/>
          <w:sz w:val="24"/>
          <w:szCs w:val="24"/>
          <w:highlight w:val="none"/>
        </w:rPr>
      </w:pPr>
      <w:r>
        <w:rPr>
          <w:rFonts w:hint="eastAsia" w:ascii="宋体" w:hAnsi="宋体"/>
          <w:bCs/>
          <w:color w:val="auto"/>
          <w:sz w:val="24"/>
          <w:szCs w:val="24"/>
          <w:highlight w:val="none"/>
        </w:rPr>
        <w:t>按乙方承诺的产品包装环保材料进行验收，必要时乙方需提供检测报告，甲方发现虚假承诺时，将扣除总货款的5%作为处罚。</w:t>
      </w:r>
    </w:p>
    <w:p w14:paraId="6E6FA2D9">
      <w:pPr>
        <w:pStyle w:val="12"/>
        <w:spacing w:line="360" w:lineRule="auto"/>
        <w:ind w:left="141" w:leftChars="67" w:firstLine="360" w:firstLineChars="150"/>
        <w:rPr>
          <w:rFonts w:hint="eastAsia" w:ascii="宋体" w:hAnsi="宋体" w:eastAsia="宋体"/>
          <w:bCs/>
          <w:color w:val="auto"/>
          <w:sz w:val="24"/>
          <w:szCs w:val="24"/>
          <w:highlight w:val="none"/>
          <w:lang w:eastAsia="zh-CN"/>
        </w:rPr>
      </w:pPr>
      <w:r>
        <w:rPr>
          <w:rFonts w:hint="eastAsia" w:ascii="宋体" w:hAnsi="宋体"/>
          <w:bCs/>
          <w:color w:val="auto"/>
          <w:sz w:val="24"/>
          <w:szCs w:val="24"/>
          <w:highlight w:val="none"/>
        </w:rPr>
        <w:t>（3）货物初验：</w:t>
      </w:r>
      <w:r>
        <w:rPr>
          <w:rFonts w:hint="eastAsia" w:ascii="宋体" w:hAnsi="宋体"/>
          <w:bCs/>
          <w:color w:val="auto"/>
          <w:sz w:val="24"/>
          <w:szCs w:val="24"/>
          <w:highlight w:val="none"/>
          <w:lang w:eastAsia="zh-CN"/>
        </w:rPr>
        <w:t>以甲方要求为准；</w:t>
      </w:r>
    </w:p>
    <w:p w14:paraId="06E21FBD">
      <w:pPr>
        <w:pStyle w:val="12"/>
        <w:spacing w:line="360" w:lineRule="auto"/>
        <w:ind w:left="141" w:leftChars="67" w:firstLine="360" w:firstLineChars="150"/>
        <w:rPr>
          <w:rFonts w:hint="eastAsia" w:ascii="宋体" w:hAnsi="宋体"/>
          <w:bCs/>
          <w:color w:val="auto"/>
          <w:sz w:val="24"/>
          <w:szCs w:val="24"/>
          <w:highlight w:val="none"/>
        </w:rPr>
      </w:pPr>
      <w:r>
        <w:rPr>
          <w:rFonts w:hint="eastAsia" w:ascii="宋体" w:hAnsi="宋体"/>
          <w:bCs/>
          <w:color w:val="auto"/>
          <w:sz w:val="24"/>
          <w:szCs w:val="24"/>
          <w:highlight w:val="none"/>
        </w:rPr>
        <w:t>（4）货物终验：</w:t>
      </w:r>
      <w:r>
        <w:rPr>
          <w:rFonts w:hint="eastAsia" w:ascii="宋体" w:hAnsi="宋体"/>
          <w:bCs/>
          <w:color w:val="auto"/>
          <w:sz w:val="24"/>
          <w:szCs w:val="24"/>
          <w:highlight w:val="none"/>
          <w:lang w:eastAsia="zh-CN"/>
        </w:rPr>
        <w:t>以甲方要求为准</w:t>
      </w:r>
      <w:r>
        <w:rPr>
          <w:rFonts w:hint="eastAsia" w:ascii="宋体" w:hAnsi="宋体"/>
          <w:bCs/>
          <w:color w:val="auto"/>
          <w:sz w:val="24"/>
          <w:szCs w:val="24"/>
          <w:highlight w:val="none"/>
        </w:rPr>
        <w:t>；</w:t>
      </w:r>
    </w:p>
    <w:p w14:paraId="69BBAE09">
      <w:pPr>
        <w:pStyle w:val="12"/>
        <w:spacing w:line="360" w:lineRule="auto"/>
        <w:ind w:firstLine="420"/>
        <w:rPr>
          <w:rFonts w:hint="eastAsia" w:ascii="宋体" w:hAnsi="宋体"/>
          <w:bCs/>
          <w:color w:val="auto"/>
          <w:sz w:val="24"/>
          <w:szCs w:val="24"/>
          <w:highlight w:val="none"/>
        </w:rPr>
      </w:pPr>
      <w:r>
        <w:rPr>
          <w:rFonts w:hint="eastAsia" w:ascii="宋体" w:hAnsi="宋体"/>
          <w:bCs/>
          <w:color w:val="auto"/>
          <w:sz w:val="24"/>
          <w:szCs w:val="24"/>
          <w:highlight w:val="none"/>
        </w:rPr>
        <w:t>（5）质量验收合格，双方签署质量验收报告。</w:t>
      </w:r>
    </w:p>
    <w:p w14:paraId="6B0A83E2">
      <w:pPr>
        <w:pStyle w:val="12"/>
        <w:spacing w:line="360" w:lineRule="auto"/>
        <w:ind w:firstLine="600" w:firstLineChars="250"/>
        <w:rPr>
          <w:rFonts w:hint="eastAsia" w:ascii="宋体" w:hAnsi="宋体"/>
          <w:bCs/>
          <w:color w:val="auto"/>
          <w:sz w:val="24"/>
          <w:szCs w:val="24"/>
          <w:highlight w:val="none"/>
        </w:rPr>
      </w:pPr>
      <w:r>
        <w:rPr>
          <w:rFonts w:hint="eastAsia" w:ascii="宋体" w:hAnsi="宋体"/>
          <w:bCs/>
          <w:color w:val="auto"/>
          <w:sz w:val="24"/>
          <w:szCs w:val="24"/>
          <w:highlight w:val="none"/>
        </w:rPr>
        <w:t>2.货物验收依据：</w:t>
      </w:r>
    </w:p>
    <w:p w14:paraId="2F2F2FB5">
      <w:pPr>
        <w:pStyle w:val="5"/>
        <w:spacing w:line="360" w:lineRule="auto"/>
        <w:ind w:firstLineChars="200"/>
        <w:rPr>
          <w:rFonts w:hint="eastAsia" w:ascii="宋体" w:hAnsi="宋体"/>
          <w:bCs/>
          <w:color w:val="auto"/>
          <w:sz w:val="24"/>
          <w:szCs w:val="24"/>
          <w:highlight w:val="none"/>
        </w:rPr>
      </w:pPr>
      <w:r>
        <w:rPr>
          <w:rFonts w:hint="eastAsia" w:ascii="宋体" w:hAnsi="宋体"/>
          <w:bCs/>
          <w:color w:val="auto"/>
          <w:sz w:val="24"/>
          <w:szCs w:val="24"/>
          <w:highlight w:val="none"/>
        </w:rPr>
        <w:t>（1）</w:t>
      </w:r>
      <w:r>
        <w:rPr>
          <w:rFonts w:hint="eastAsia" w:ascii="宋体" w:hAnsi="宋体"/>
          <w:bCs/>
          <w:color w:val="auto"/>
          <w:sz w:val="24"/>
          <w:szCs w:val="24"/>
          <w:highlight w:val="none"/>
          <w:lang w:eastAsia="zh-CN"/>
        </w:rPr>
        <w:t>招标</w:t>
      </w:r>
      <w:r>
        <w:rPr>
          <w:rFonts w:hint="eastAsia" w:ascii="宋体" w:hAnsi="宋体"/>
          <w:bCs/>
          <w:color w:val="auto"/>
          <w:sz w:val="24"/>
          <w:szCs w:val="24"/>
          <w:highlight w:val="none"/>
        </w:rPr>
        <w:t>文件；</w:t>
      </w:r>
    </w:p>
    <w:p w14:paraId="5D6B5D20">
      <w:pPr>
        <w:pStyle w:val="5"/>
        <w:spacing w:line="360" w:lineRule="auto"/>
        <w:ind w:firstLineChars="200"/>
        <w:rPr>
          <w:rFonts w:hint="eastAsia" w:ascii="宋体" w:hAnsi="宋体"/>
          <w:bCs/>
          <w:color w:val="auto"/>
          <w:sz w:val="24"/>
          <w:szCs w:val="24"/>
          <w:highlight w:val="none"/>
        </w:rPr>
      </w:pPr>
      <w:r>
        <w:rPr>
          <w:rFonts w:hint="eastAsia" w:ascii="宋体" w:hAnsi="宋体"/>
          <w:bCs/>
          <w:color w:val="auto"/>
          <w:sz w:val="24"/>
          <w:szCs w:val="24"/>
          <w:highlight w:val="none"/>
        </w:rPr>
        <w:t>（2）</w:t>
      </w:r>
      <w:r>
        <w:rPr>
          <w:rFonts w:hint="eastAsia" w:ascii="宋体" w:hAnsi="宋体"/>
          <w:bCs/>
          <w:color w:val="auto"/>
          <w:sz w:val="24"/>
          <w:szCs w:val="24"/>
          <w:highlight w:val="none"/>
          <w:lang w:eastAsia="zh-CN"/>
        </w:rPr>
        <w:t>投标</w:t>
      </w:r>
      <w:r>
        <w:rPr>
          <w:rFonts w:hint="eastAsia" w:ascii="宋体" w:hAnsi="宋体"/>
          <w:bCs/>
          <w:color w:val="auto"/>
          <w:sz w:val="24"/>
          <w:szCs w:val="24"/>
          <w:highlight w:val="none"/>
        </w:rPr>
        <w:t>文件；</w:t>
      </w:r>
    </w:p>
    <w:p w14:paraId="5E02115B">
      <w:pPr>
        <w:pStyle w:val="5"/>
        <w:spacing w:line="360" w:lineRule="auto"/>
        <w:ind w:firstLineChars="200"/>
        <w:rPr>
          <w:rFonts w:hint="eastAsia" w:ascii="宋体" w:hAnsi="宋体"/>
          <w:bCs/>
          <w:color w:val="auto"/>
          <w:sz w:val="24"/>
          <w:szCs w:val="24"/>
          <w:highlight w:val="none"/>
        </w:rPr>
      </w:pPr>
      <w:r>
        <w:rPr>
          <w:rFonts w:hint="eastAsia" w:ascii="宋体" w:hAnsi="宋体"/>
          <w:bCs/>
          <w:color w:val="auto"/>
          <w:sz w:val="24"/>
          <w:szCs w:val="24"/>
          <w:highlight w:val="none"/>
        </w:rPr>
        <w:t>（3）采购合同及补充协议；</w:t>
      </w:r>
    </w:p>
    <w:p w14:paraId="474C3020">
      <w:pPr>
        <w:pStyle w:val="12"/>
        <w:spacing w:line="360" w:lineRule="auto"/>
        <w:ind w:firstLine="420"/>
        <w:rPr>
          <w:rFonts w:hint="eastAsia" w:ascii="宋体" w:hAnsi="宋体"/>
          <w:bCs/>
          <w:color w:val="auto"/>
          <w:sz w:val="24"/>
          <w:szCs w:val="24"/>
          <w:highlight w:val="none"/>
        </w:rPr>
      </w:pPr>
      <w:r>
        <w:rPr>
          <w:rFonts w:hint="eastAsia" w:ascii="宋体" w:hAnsi="宋体"/>
          <w:bCs/>
          <w:color w:val="auto"/>
          <w:sz w:val="24"/>
          <w:szCs w:val="24"/>
          <w:highlight w:val="none"/>
        </w:rPr>
        <w:t>（4）质检部门抽样检查货物（产品）合格的检测报告。</w:t>
      </w:r>
    </w:p>
    <w:p w14:paraId="43CF00B0">
      <w:pPr>
        <w:pStyle w:val="12"/>
        <w:spacing w:line="360" w:lineRule="auto"/>
        <w:ind w:firstLine="600" w:firstLineChars="250"/>
        <w:rPr>
          <w:rFonts w:hint="eastAsia" w:ascii="宋体" w:hAnsi="宋体"/>
          <w:bCs/>
          <w:color w:val="auto"/>
          <w:sz w:val="24"/>
          <w:szCs w:val="24"/>
          <w:highlight w:val="none"/>
        </w:rPr>
      </w:pPr>
      <w:r>
        <w:rPr>
          <w:rFonts w:hint="eastAsia" w:ascii="宋体" w:hAnsi="宋体"/>
          <w:bCs/>
          <w:color w:val="auto"/>
          <w:sz w:val="24"/>
          <w:szCs w:val="24"/>
          <w:highlight w:val="none"/>
        </w:rPr>
        <w:t>3.货物验收时发现问题的处理办法：</w:t>
      </w:r>
    </w:p>
    <w:p w14:paraId="626D5B9F">
      <w:pPr>
        <w:pStyle w:val="12"/>
        <w:spacing w:line="360" w:lineRule="auto"/>
        <w:ind w:firstLine="420"/>
        <w:rPr>
          <w:rFonts w:hint="eastAsia" w:ascii="宋体" w:hAnsi="宋体"/>
          <w:bCs/>
          <w:color w:val="auto"/>
          <w:sz w:val="24"/>
          <w:szCs w:val="24"/>
          <w:highlight w:val="none"/>
        </w:rPr>
      </w:pPr>
      <w:r>
        <w:rPr>
          <w:rFonts w:hint="eastAsia" w:ascii="宋体" w:hAnsi="宋体"/>
          <w:bCs/>
          <w:color w:val="auto"/>
          <w:sz w:val="24"/>
          <w:szCs w:val="24"/>
          <w:highlight w:val="none"/>
        </w:rPr>
        <w:t>（1）乙方提供不符合</w:t>
      </w:r>
      <w:r>
        <w:rPr>
          <w:rFonts w:hint="eastAsia" w:ascii="宋体" w:hAnsi="宋体"/>
          <w:bCs/>
          <w:color w:val="auto"/>
          <w:sz w:val="24"/>
          <w:szCs w:val="24"/>
          <w:highlight w:val="none"/>
          <w:lang w:eastAsia="zh-CN"/>
        </w:rPr>
        <w:t>招标</w:t>
      </w:r>
      <w:r>
        <w:rPr>
          <w:rFonts w:hint="eastAsia" w:ascii="宋体" w:hAnsi="宋体"/>
          <w:bCs/>
          <w:color w:val="auto"/>
          <w:sz w:val="24"/>
          <w:szCs w:val="24"/>
          <w:highlight w:val="none"/>
        </w:rPr>
        <w:t>文件和本合同规定的货物（产品），甲方有权拒绝接受；</w:t>
      </w:r>
    </w:p>
    <w:p w14:paraId="493C2DDE">
      <w:pPr>
        <w:pStyle w:val="12"/>
        <w:spacing w:line="360" w:lineRule="auto"/>
        <w:ind w:firstLine="420"/>
        <w:rPr>
          <w:rFonts w:hint="eastAsia" w:ascii="宋体" w:hAnsi="宋体"/>
          <w:bCs/>
          <w:color w:val="auto"/>
          <w:sz w:val="24"/>
          <w:szCs w:val="24"/>
          <w:highlight w:val="none"/>
        </w:rPr>
      </w:pPr>
      <w:r>
        <w:rPr>
          <w:rFonts w:hint="eastAsia" w:ascii="宋体" w:hAnsi="宋体"/>
          <w:bCs/>
          <w:color w:val="auto"/>
          <w:sz w:val="24"/>
          <w:szCs w:val="24"/>
          <w:highlight w:val="none"/>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6E9708BF">
      <w:pPr>
        <w:pStyle w:val="12"/>
        <w:spacing w:line="360" w:lineRule="auto"/>
        <w:ind w:firstLine="420"/>
        <w:rPr>
          <w:rFonts w:hint="eastAsia" w:ascii="宋体" w:hAnsi="宋体"/>
          <w:bCs/>
          <w:color w:val="auto"/>
          <w:sz w:val="24"/>
          <w:szCs w:val="24"/>
          <w:highlight w:val="none"/>
        </w:rPr>
      </w:pPr>
      <w:r>
        <w:rPr>
          <w:rFonts w:hint="eastAsia" w:ascii="宋体" w:hAnsi="宋体"/>
          <w:bCs/>
          <w:color w:val="auto"/>
          <w:sz w:val="24"/>
          <w:szCs w:val="24"/>
          <w:highlight w:val="none"/>
        </w:rPr>
        <w:t>（3）如货物经乙方</w:t>
      </w:r>
      <w:r>
        <w:rPr>
          <w:rFonts w:ascii="宋体" w:hAnsi="宋体"/>
          <w:bCs/>
          <w:color w:val="auto"/>
          <w:sz w:val="24"/>
          <w:szCs w:val="24"/>
          <w:highlight w:val="none"/>
          <w:u w:val="single"/>
        </w:rPr>
        <w:t>3</w:t>
      </w:r>
      <w:r>
        <w:rPr>
          <w:rFonts w:hint="eastAsia" w:ascii="宋体" w:hAnsi="宋体"/>
          <w:bCs/>
          <w:color w:val="auto"/>
          <w:sz w:val="24"/>
          <w:szCs w:val="24"/>
          <w:highlight w:val="none"/>
        </w:rPr>
        <w:t>次维修仍不能达到合同约定的质量标准，甲方有权退货，并视作乙方不能交付货物而须支付违约赔偿金给甲方，甲方还可依法追究乙方的违约责任； </w:t>
      </w:r>
    </w:p>
    <w:p w14:paraId="341D3952">
      <w:pPr>
        <w:pStyle w:val="12"/>
        <w:spacing w:line="360" w:lineRule="auto"/>
        <w:ind w:firstLine="420"/>
        <w:rPr>
          <w:rFonts w:hint="eastAsia" w:ascii="宋体" w:hAnsi="宋体"/>
          <w:bCs/>
          <w:color w:val="auto"/>
          <w:sz w:val="24"/>
          <w:szCs w:val="24"/>
          <w:highlight w:val="none"/>
        </w:rPr>
      </w:pPr>
      <w:r>
        <w:rPr>
          <w:rFonts w:hint="eastAsia" w:ascii="宋体" w:hAnsi="宋体"/>
          <w:bCs/>
          <w:color w:val="auto"/>
          <w:sz w:val="24"/>
          <w:szCs w:val="24"/>
          <w:highlight w:val="none"/>
        </w:rPr>
        <w:t>（4）货物安装完成后</w:t>
      </w:r>
      <w:r>
        <w:rPr>
          <w:rFonts w:ascii="宋体" w:hAnsi="宋体"/>
          <w:bCs/>
          <w:color w:val="auto"/>
          <w:sz w:val="24"/>
          <w:szCs w:val="24"/>
          <w:highlight w:val="none"/>
          <w:u w:val="single"/>
        </w:rPr>
        <w:t>7</w:t>
      </w:r>
      <w:r>
        <w:rPr>
          <w:rFonts w:hint="eastAsia" w:ascii="宋体" w:hAnsi="宋体"/>
          <w:bCs/>
          <w:color w:val="auto"/>
          <w:sz w:val="24"/>
          <w:szCs w:val="24"/>
          <w:highlight w:val="none"/>
        </w:rPr>
        <w:t>日内，甲方无故不进行验收工作并已使用货物的，视同已安装调试完成并验收合格；</w:t>
      </w:r>
    </w:p>
    <w:p w14:paraId="3DD61CEB">
      <w:pPr>
        <w:pStyle w:val="12"/>
        <w:spacing w:line="360" w:lineRule="auto"/>
        <w:ind w:firstLine="420"/>
        <w:rPr>
          <w:rFonts w:hint="eastAsia" w:ascii="宋体" w:hAnsi="宋体"/>
          <w:bCs/>
          <w:color w:val="auto"/>
          <w:sz w:val="24"/>
          <w:szCs w:val="24"/>
          <w:highlight w:val="none"/>
        </w:rPr>
      </w:pPr>
      <w:r>
        <w:rPr>
          <w:rFonts w:hint="eastAsia" w:ascii="宋体" w:hAnsi="宋体"/>
          <w:bCs/>
          <w:color w:val="auto"/>
          <w:sz w:val="24"/>
          <w:szCs w:val="24"/>
          <w:highlight w:val="none"/>
        </w:rPr>
        <w:t>（5）乙方不能完整交付货物及本条第一款规定的单证和工具的，必须负责补齐，否则视为未按合同约定交货；</w:t>
      </w:r>
    </w:p>
    <w:p w14:paraId="597D4A28">
      <w:pPr>
        <w:pStyle w:val="12"/>
        <w:spacing w:line="360" w:lineRule="auto"/>
        <w:ind w:firstLine="420"/>
        <w:rPr>
          <w:rFonts w:hint="eastAsia" w:ascii="宋体" w:hAnsi="宋体"/>
          <w:bCs/>
          <w:color w:val="auto"/>
          <w:sz w:val="24"/>
          <w:szCs w:val="24"/>
          <w:highlight w:val="none"/>
        </w:rPr>
      </w:pPr>
      <w:r>
        <w:rPr>
          <w:rFonts w:hint="eastAsia" w:ascii="宋体" w:hAnsi="宋体"/>
          <w:bCs/>
          <w:color w:val="auto"/>
          <w:sz w:val="24"/>
          <w:szCs w:val="24"/>
          <w:highlight w:val="none"/>
        </w:rPr>
        <w:t>（6）超出合理磅差的处理方法：</w:t>
      </w:r>
      <w:r>
        <w:rPr>
          <w:rFonts w:ascii="宋体" w:hAnsi="宋体"/>
          <w:bCs/>
          <w:color w:val="auto"/>
          <w:sz w:val="24"/>
          <w:szCs w:val="24"/>
          <w:highlight w:val="none"/>
          <w:u w:val="single"/>
        </w:rPr>
        <w:t>/</w:t>
      </w:r>
      <w:r>
        <w:rPr>
          <w:rFonts w:hint="eastAsia" w:ascii="宋体" w:hAnsi="宋体"/>
          <w:bCs/>
          <w:color w:val="auto"/>
          <w:sz w:val="24"/>
          <w:szCs w:val="24"/>
          <w:highlight w:val="none"/>
        </w:rPr>
        <w:t>。</w:t>
      </w:r>
    </w:p>
    <w:p w14:paraId="453DC0A5">
      <w:pPr>
        <w:snapToGrid w:val="0"/>
        <w:spacing w:before="120" w:beforeLines="50" w:after="120" w:afterLines="50" w:line="360" w:lineRule="auto"/>
        <w:ind w:firstLine="360" w:firstLineChars="150"/>
        <w:rPr>
          <w:rFonts w:hint="eastAsia" w:ascii="Times New Roman" w:hAnsi="Times New Roman" w:eastAsia="宋体" w:cs="Times New Roman"/>
          <w:bCs/>
          <w:color w:val="auto"/>
          <w:sz w:val="24"/>
          <w:szCs w:val="24"/>
          <w:highlight w:val="none"/>
        </w:rPr>
      </w:pPr>
      <w:bookmarkStart w:id="10" w:name="_Toc13737_WPSOffice_Level2"/>
      <w:r>
        <w:rPr>
          <w:rFonts w:hint="eastAsia" w:ascii="Times New Roman" w:hAnsi="Times New Roman" w:eastAsia="宋体" w:cs="Times New Roman"/>
          <w:bCs/>
          <w:color w:val="auto"/>
          <w:sz w:val="24"/>
          <w:szCs w:val="24"/>
          <w:highlight w:val="none"/>
        </w:rPr>
        <w:t>第九条 售后服务</w:t>
      </w:r>
      <w:bookmarkEnd w:id="10"/>
    </w:p>
    <w:p w14:paraId="5B8BC061">
      <w:pPr>
        <w:pStyle w:val="12"/>
        <w:spacing w:line="360" w:lineRule="auto"/>
        <w:ind w:firstLine="420"/>
        <w:rPr>
          <w:rFonts w:hint="eastAsia"/>
          <w:bCs/>
          <w:color w:val="auto"/>
          <w:kern w:val="0"/>
          <w:sz w:val="24"/>
          <w:szCs w:val="24"/>
          <w:highlight w:val="none"/>
        </w:rPr>
      </w:pPr>
      <w:r>
        <w:rPr>
          <w:rFonts w:hint="eastAsia"/>
          <w:bCs/>
          <w:color w:val="auto"/>
          <w:kern w:val="0"/>
          <w:sz w:val="24"/>
          <w:szCs w:val="24"/>
          <w:highlight w:val="none"/>
        </w:rPr>
        <w:t>乙方应按照国家有关法律法规和“三包”规定以及</w:t>
      </w:r>
      <w:r>
        <w:rPr>
          <w:rFonts w:hint="eastAsia"/>
          <w:bCs/>
          <w:color w:val="auto"/>
          <w:kern w:val="0"/>
          <w:sz w:val="24"/>
          <w:szCs w:val="24"/>
          <w:highlight w:val="none"/>
          <w:lang w:eastAsia="zh-CN"/>
        </w:rPr>
        <w:t>招标</w:t>
      </w:r>
      <w:r>
        <w:rPr>
          <w:rFonts w:hint="eastAsia"/>
          <w:bCs/>
          <w:color w:val="auto"/>
          <w:kern w:val="0"/>
          <w:sz w:val="24"/>
          <w:szCs w:val="24"/>
          <w:highlight w:val="none"/>
        </w:rPr>
        <w:t>文件要求和</w:t>
      </w:r>
      <w:r>
        <w:rPr>
          <w:rFonts w:hint="eastAsia"/>
          <w:bCs/>
          <w:color w:val="auto"/>
          <w:kern w:val="0"/>
          <w:sz w:val="24"/>
          <w:szCs w:val="24"/>
          <w:highlight w:val="none"/>
          <w:lang w:eastAsia="zh-CN"/>
        </w:rPr>
        <w:t>投标文件</w:t>
      </w:r>
      <w:r>
        <w:rPr>
          <w:rFonts w:hint="eastAsia"/>
          <w:bCs/>
          <w:color w:val="auto"/>
          <w:kern w:val="0"/>
          <w:sz w:val="24"/>
          <w:szCs w:val="24"/>
          <w:highlight w:val="none"/>
        </w:rPr>
        <w:t>的“服务承诺”提供服务。</w:t>
      </w:r>
    </w:p>
    <w:p w14:paraId="2176E2D6">
      <w:pPr>
        <w:snapToGrid w:val="0"/>
        <w:spacing w:before="120" w:beforeLines="50" w:after="120" w:afterLines="50" w:line="360" w:lineRule="auto"/>
        <w:ind w:firstLine="360" w:firstLineChars="150"/>
        <w:rPr>
          <w:rFonts w:hint="eastAsia" w:ascii="Times New Roman" w:hAnsi="Times New Roman" w:eastAsia="宋体" w:cs="Times New Roman"/>
          <w:bCs/>
          <w:color w:val="auto"/>
          <w:sz w:val="24"/>
          <w:szCs w:val="24"/>
          <w:highlight w:val="none"/>
        </w:rPr>
      </w:pPr>
      <w:bookmarkStart w:id="11" w:name="_Toc10879_WPSOffice_Level2"/>
      <w:r>
        <w:rPr>
          <w:rFonts w:hint="eastAsia" w:ascii="Times New Roman" w:hAnsi="Times New Roman" w:eastAsia="宋体" w:cs="Times New Roman"/>
          <w:bCs/>
          <w:color w:val="auto"/>
          <w:sz w:val="24"/>
          <w:szCs w:val="24"/>
          <w:highlight w:val="none"/>
        </w:rPr>
        <w:t>第十条 违约责任</w:t>
      </w:r>
      <w:bookmarkEnd w:id="11"/>
    </w:p>
    <w:p w14:paraId="118F4FCE">
      <w:pPr>
        <w:pStyle w:val="12"/>
        <w:spacing w:line="360" w:lineRule="auto"/>
        <w:ind w:firstLine="600" w:firstLineChars="250"/>
        <w:rPr>
          <w:rFonts w:hint="eastAsia" w:ascii="宋体" w:hAnsi="宋体"/>
          <w:bCs/>
          <w:color w:val="auto"/>
          <w:sz w:val="24"/>
          <w:szCs w:val="24"/>
          <w:highlight w:val="none"/>
        </w:rPr>
      </w:pPr>
      <w:r>
        <w:rPr>
          <w:rFonts w:hint="eastAsia" w:ascii="宋体" w:hAnsi="宋体"/>
          <w:bCs/>
          <w:color w:val="auto"/>
          <w:sz w:val="24"/>
          <w:szCs w:val="24"/>
          <w:highlight w:val="none"/>
        </w:rPr>
        <w:t>1.甲方违约责任</w:t>
      </w:r>
    </w:p>
    <w:p w14:paraId="3E81E62E">
      <w:pPr>
        <w:pStyle w:val="12"/>
        <w:spacing w:line="360" w:lineRule="auto"/>
        <w:ind w:firstLine="410" w:firstLineChars="171"/>
        <w:rPr>
          <w:rFonts w:hint="eastAsia" w:ascii="宋体" w:hAnsi="宋体"/>
          <w:bCs/>
          <w:color w:val="auto"/>
          <w:sz w:val="24"/>
          <w:szCs w:val="24"/>
          <w:highlight w:val="none"/>
        </w:rPr>
      </w:pPr>
      <w:r>
        <w:rPr>
          <w:rFonts w:hint="eastAsia" w:ascii="宋体" w:hAnsi="宋体"/>
          <w:bCs/>
          <w:color w:val="auto"/>
          <w:sz w:val="24"/>
          <w:szCs w:val="24"/>
          <w:highlight w:val="none"/>
        </w:rPr>
        <w:t>（1）甲方无正当理由拒收货物的，甲方应偿付合同总价</w:t>
      </w:r>
      <w:r>
        <w:rPr>
          <w:rFonts w:ascii="宋体" w:hAnsi="宋体"/>
          <w:bCs/>
          <w:color w:val="auto"/>
          <w:sz w:val="24"/>
          <w:szCs w:val="24"/>
          <w:highlight w:val="none"/>
          <w:u w:val="single"/>
        </w:rPr>
        <w:t>3</w:t>
      </w:r>
      <w:r>
        <w:rPr>
          <w:rFonts w:hint="eastAsia" w:ascii="宋体" w:hAnsi="宋体"/>
          <w:bCs/>
          <w:color w:val="auto"/>
          <w:sz w:val="24"/>
          <w:szCs w:val="24"/>
          <w:highlight w:val="none"/>
        </w:rPr>
        <w:t>%的违约金；</w:t>
      </w:r>
    </w:p>
    <w:p w14:paraId="5AA91D95">
      <w:pPr>
        <w:pStyle w:val="12"/>
        <w:spacing w:line="360" w:lineRule="auto"/>
        <w:ind w:firstLine="410" w:firstLineChars="171"/>
        <w:rPr>
          <w:rFonts w:hint="eastAsia" w:ascii="宋体" w:hAnsi="宋体"/>
          <w:bCs/>
          <w:color w:val="auto"/>
          <w:sz w:val="24"/>
          <w:szCs w:val="24"/>
          <w:highlight w:val="none"/>
        </w:rPr>
      </w:pPr>
      <w:r>
        <w:rPr>
          <w:rFonts w:hint="eastAsia" w:ascii="宋体" w:hAnsi="宋体"/>
          <w:bCs/>
          <w:color w:val="auto"/>
          <w:sz w:val="24"/>
          <w:szCs w:val="24"/>
          <w:highlight w:val="none"/>
        </w:rPr>
        <w:t>（2）甲方逾期支付货款的，除应及时付足货款外，应向乙方每天支付欠款总额</w:t>
      </w:r>
      <w:r>
        <w:rPr>
          <w:rFonts w:ascii="宋体" w:hAnsi="宋体"/>
          <w:bCs/>
          <w:color w:val="auto"/>
          <w:sz w:val="24"/>
          <w:szCs w:val="24"/>
          <w:highlight w:val="none"/>
          <w:u w:val="single"/>
        </w:rPr>
        <w:t>3</w:t>
      </w:r>
      <w:r>
        <w:rPr>
          <w:rFonts w:hint="eastAsia" w:ascii="宋体" w:hAnsi="宋体"/>
          <w:bCs/>
          <w:color w:val="auto"/>
          <w:sz w:val="24"/>
          <w:szCs w:val="24"/>
          <w:highlight w:val="none"/>
        </w:rPr>
        <w:t>‰的滞纳金；但累计滞纳金总额不超过欠款总额的</w:t>
      </w:r>
      <w:r>
        <w:rPr>
          <w:rFonts w:ascii="宋体" w:hAnsi="宋体"/>
          <w:bCs/>
          <w:color w:val="auto"/>
          <w:sz w:val="24"/>
          <w:szCs w:val="24"/>
          <w:highlight w:val="none"/>
          <w:u w:val="single"/>
        </w:rPr>
        <w:t>5</w:t>
      </w:r>
      <w:r>
        <w:rPr>
          <w:rFonts w:hint="eastAsia" w:ascii="宋体" w:hAnsi="宋体"/>
          <w:bCs/>
          <w:color w:val="auto"/>
          <w:sz w:val="24"/>
          <w:szCs w:val="24"/>
          <w:highlight w:val="none"/>
        </w:rPr>
        <w:t>%。</w:t>
      </w:r>
    </w:p>
    <w:p w14:paraId="3BED6324">
      <w:pPr>
        <w:pStyle w:val="12"/>
        <w:spacing w:line="360" w:lineRule="auto"/>
        <w:ind w:firstLine="600" w:firstLineChars="250"/>
        <w:rPr>
          <w:rFonts w:hint="eastAsia" w:ascii="宋体" w:hAnsi="宋体"/>
          <w:bCs/>
          <w:color w:val="auto"/>
          <w:sz w:val="24"/>
          <w:szCs w:val="24"/>
          <w:highlight w:val="none"/>
        </w:rPr>
      </w:pPr>
      <w:r>
        <w:rPr>
          <w:rFonts w:hint="eastAsia" w:ascii="宋体" w:hAnsi="宋体"/>
          <w:bCs/>
          <w:color w:val="auto"/>
          <w:sz w:val="24"/>
          <w:szCs w:val="24"/>
          <w:highlight w:val="none"/>
        </w:rPr>
        <w:t>2.乙方违约责任</w:t>
      </w:r>
    </w:p>
    <w:p w14:paraId="0FFE3DA0">
      <w:pPr>
        <w:widowControl/>
        <w:spacing w:line="360" w:lineRule="auto"/>
        <w:ind w:firstLine="480" w:firstLineChars="200"/>
        <w:jc w:val="left"/>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rPr>
        <w:t>（</w:t>
      </w:r>
      <w:r>
        <w:rPr>
          <w:rFonts w:hint="eastAsia" w:ascii="宋体" w:hAnsi="宋体" w:cs="宋体"/>
          <w:bCs/>
          <w:color w:val="auto"/>
          <w:kern w:val="0"/>
          <w:sz w:val="24"/>
          <w:szCs w:val="24"/>
          <w:highlight w:val="none"/>
          <w:lang w:val="en-US" w:eastAsia="zh-CN"/>
        </w:rPr>
        <w:t>1</w:t>
      </w:r>
      <w:r>
        <w:rPr>
          <w:rFonts w:hint="eastAsia" w:ascii="宋体" w:hAnsi="宋体" w:cs="宋体"/>
          <w:bCs/>
          <w:color w:val="auto"/>
          <w:kern w:val="0"/>
          <w:sz w:val="24"/>
          <w:szCs w:val="24"/>
          <w:highlight w:val="none"/>
        </w:rPr>
        <w:t>）乙方逾期交付货物的，每逾期1天，乙方向甲方偿付逾期交货部分货款总额的</w:t>
      </w:r>
      <w:r>
        <w:rPr>
          <w:rFonts w:ascii="宋体" w:hAnsi="宋体" w:cs="宋体"/>
          <w:bCs/>
          <w:color w:val="auto"/>
          <w:kern w:val="0"/>
          <w:sz w:val="24"/>
          <w:szCs w:val="24"/>
          <w:highlight w:val="none"/>
          <w:u w:val="single"/>
        </w:rPr>
        <w:t>5</w:t>
      </w:r>
      <w:r>
        <w:rPr>
          <w:rFonts w:hint="eastAsia" w:ascii="宋体" w:hAnsi="宋体" w:cs="宋体"/>
          <w:bCs/>
          <w:color w:val="auto"/>
          <w:kern w:val="0"/>
          <w:sz w:val="24"/>
          <w:szCs w:val="24"/>
          <w:highlight w:val="none"/>
        </w:rPr>
        <w:t>‰的滞纳金。如乙方逾期交货达</w:t>
      </w:r>
      <w:r>
        <w:rPr>
          <w:rFonts w:ascii="宋体" w:hAnsi="宋体" w:cs="宋体"/>
          <w:bCs/>
          <w:color w:val="auto"/>
          <w:kern w:val="0"/>
          <w:sz w:val="24"/>
          <w:szCs w:val="24"/>
          <w:highlight w:val="none"/>
          <w:u w:val="single"/>
        </w:rPr>
        <w:t>10</w:t>
      </w:r>
      <w:r>
        <w:rPr>
          <w:rFonts w:hint="eastAsia" w:ascii="宋体" w:hAnsi="宋体" w:cs="宋体"/>
          <w:bCs/>
          <w:color w:val="auto"/>
          <w:kern w:val="0"/>
          <w:sz w:val="24"/>
          <w:szCs w:val="24"/>
          <w:highlight w:val="none"/>
        </w:rPr>
        <w:t>天，甲方有权解除合同，解除合同的通知自到达乙方时生效；</w:t>
      </w:r>
    </w:p>
    <w:p w14:paraId="40350711">
      <w:pPr>
        <w:widowControl/>
        <w:spacing w:line="360" w:lineRule="auto"/>
        <w:ind w:firstLine="480" w:firstLineChars="200"/>
        <w:jc w:val="left"/>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rPr>
        <w:t>（</w:t>
      </w:r>
      <w:r>
        <w:rPr>
          <w:rFonts w:hint="eastAsia" w:ascii="宋体" w:hAnsi="宋体" w:cs="宋体"/>
          <w:bCs/>
          <w:color w:val="auto"/>
          <w:kern w:val="0"/>
          <w:sz w:val="24"/>
          <w:szCs w:val="24"/>
          <w:highlight w:val="none"/>
          <w:lang w:val="en-US" w:eastAsia="zh-CN"/>
        </w:rPr>
        <w:t>2</w:t>
      </w:r>
      <w:r>
        <w:rPr>
          <w:rFonts w:hint="eastAsia" w:ascii="宋体" w:hAnsi="宋体" w:cs="宋体"/>
          <w:bCs/>
          <w:color w:val="auto"/>
          <w:kern w:val="0"/>
          <w:sz w:val="24"/>
          <w:szCs w:val="24"/>
          <w:highlight w:val="none"/>
        </w:rPr>
        <w:t>）乙方所交付的货物品种、型号、规格不符合合同规定的，甲方有权拒收。甲方拒收的，乙方应向甲方支付货款总额</w:t>
      </w:r>
      <w:r>
        <w:rPr>
          <w:rFonts w:ascii="宋体" w:hAnsi="宋体" w:cs="宋体"/>
          <w:bCs/>
          <w:color w:val="auto"/>
          <w:kern w:val="0"/>
          <w:sz w:val="24"/>
          <w:szCs w:val="24"/>
          <w:highlight w:val="none"/>
          <w:u w:val="single"/>
        </w:rPr>
        <w:t>5</w:t>
      </w:r>
      <w:r>
        <w:rPr>
          <w:rFonts w:hint="eastAsia" w:ascii="宋体" w:hAnsi="宋体" w:cs="宋体"/>
          <w:bCs/>
          <w:color w:val="auto"/>
          <w:kern w:val="0"/>
          <w:sz w:val="24"/>
          <w:szCs w:val="24"/>
          <w:highlight w:val="none"/>
        </w:rPr>
        <w:t>%的违约金；</w:t>
      </w:r>
    </w:p>
    <w:p w14:paraId="0F54D760">
      <w:pPr>
        <w:pStyle w:val="12"/>
        <w:spacing w:line="360" w:lineRule="auto"/>
        <w:ind w:firstLine="420"/>
        <w:rPr>
          <w:rFonts w:hint="eastAsia" w:ascii="宋体" w:hAnsi="宋体"/>
          <w:bCs/>
          <w:color w:val="auto"/>
          <w:sz w:val="24"/>
          <w:szCs w:val="24"/>
          <w:highlight w:val="none"/>
        </w:rPr>
      </w:pPr>
      <w:r>
        <w:rPr>
          <w:rFonts w:hint="eastAsia" w:ascii="宋体" w:hAnsi="宋体"/>
          <w:bCs/>
          <w:color w:val="auto"/>
          <w:sz w:val="24"/>
          <w:szCs w:val="24"/>
          <w:highlight w:val="none"/>
        </w:rPr>
        <w:t>（</w:t>
      </w:r>
      <w:r>
        <w:rPr>
          <w:rFonts w:hint="eastAsia" w:ascii="宋体" w:hAnsi="宋体"/>
          <w:bCs/>
          <w:color w:val="auto"/>
          <w:sz w:val="24"/>
          <w:szCs w:val="24"/>
          <w:highlight w:val="none"/>
          <w:lang w:val="en-US" w:eastAsia="zh-CN"/>
        </w:rPr>
        <w:t>3</w:t>
      </w:r>
      <w:r>
        <w:rPr>
          <w:rFonts w:hint="eastAsia" w:ascii="宋体" w:hAnsi="宋体"/>
          <w:bCs/>
          <w:color w:val="auto"/>
          <w:sz w:val="24"/>
          <w:szCs w:val="24"/>
          <w:highlight w:val="none"/>
        </w:rPr>
        <w:t>）乙方货物经甲方送交具有法定资格条件的质量技术监督机构检测后，如检测结果认定货物质量不符合本合同规定标准的，则视为乙方没有按时交货而违约，乙方须在</w:t>
      </w:r>
      <w:r>
        <w:rPr>
          <w:rFonts w:ascii="宋体" w:hAnsi="宋体"/>
          <w:bCs/>
          <w:color w:val="auto"/>
          <w:sz w:val="24"/>
          <w:szCs w:val="24"/>
          <w:highlight w:val="none"/>
          <w:u w:val="single"/>
        </w:rPr>
        <w:t>10</w:t>
      </w:r>
      <w:r>
        <w:rPr>
          <w:rFonts w:hint="eastAsia" w:ascii="宋体" w:hAnsi="宋体"/>
          <w:bCs/>
          <w:color w:val="auto"/>
          <w:sz w:val="24"/>
          <w:szCs w:val="24"/>
          <w:highlight w:val="none"/>
        </w:rPr>
        <w:t>天内无条件更换合格的货物，如逾期不能更换合格的货物，甲方有权终止本合同，乙方应另向甲方支付货款总额的</w:t>
      </w:r>
      <w:r>
        <w:rPr>
          <w:rFonts w:ascii="宋体" w:hAnsi="宋体"/>
          <w:bCs/>
          <w:color w:val="auto"/>
          <w:sz w:val="24"/>
          <w:szCs w:val="24"/>
          <w:highlight w:val="none"/>
          <w:u w:val="single"/>
        </w:rPr>
        <w:t>0.5</w:t>
      </w:r>
      <w:r>
        <w:rPr>
          <w:rFonts w:hint="eastAsia" w:ascii="宋体" w:hAnsi="宋体"/>
          <w:bCs/>
          <w:color w:val="auto"/>
          <w:sz w:val="24"/>
          <w:szCs w:val="24"/>
          <w:highlight w:val="none"/>
        </w:rPr>
        <w:t>%的违约金；</w:t>
      </w:r>
    </w:p>
    <w:p w14:paraId="0500C817">
      <w:pPr>
        <w:pStyle w:val="12"/>
        <w:spacing w:line="360" w:lineRule="auto"/>
        <w:ind w:firstLine="420"/>
        <w:rPr>
          <w:rFonts w:hint="eastAsia" w:ascii="宋体" w:hAnsi="宋体"/>
          <w:bCs/>
          <w:color w:val="auto"/>
          <w:kern w:val="0"/>
          <w:sz w:val="24"/>
          <w:szCs w:val="24"/>
          <w:highlight w:val="none"/>
        </w:rPr>
      </w:pPr>
      <w:r>
        <w:rPr>
          <w:rFonts w:hint="eastAsia" w:ascii="宋体" w:hAnsi="宋体"/>
          <w:bCs/>
          <w:color w:val="auto"/>
          <w:kern w:val="0"/>
          <w:sz w:val="24"/>
          <w:szCs w:val="24"/>
          <w:highlight w:val="none"/>
        </w:rPr>
        <w:t>（</w:t>
      </w:r>
      <w:r>
        <w:rPr>
          <w:rFonts w:hint="eastAsia" w:ascii="宋体" w:hAnsi="宋体"/>
          <w:bCs/>
          <w:color w:val="auto"/>
          <w:kern w:val="0"/>
          <w:sz w:val="24"/>
          <w:szCs w:val="24"/>
          <w:highlight w:val="none"/>
          <w:lang w:val="en-US" w:eastAsia="zh-CN"/>
        </w:rPr>
        <w:t>4</w:t>
      </w:r>
      <w:r>
        <w:rPr>
          <w:rFonts w:hint="eastAsia" w:ascii="宋体" w:hAnsi="宋体"/>
          <w:bCs/>
          <w:color w:val="auto"/>
          <w:kern w:val="0"/>
          <w:sz w:val="24"/>
          <w:szCs w:val="24"/>
          <w:highlight w:val="none"/>
        </w:rPr>
        <w:t>）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0A176A1D">
      <w:pPr>
        <w:pStyle w:val="12"/>
        <w:spacing w:line="360" w:lineRule="auto"/>
        <w:ind w:firstLine="420"/>
        <w:rPr>
          <w:rFonts w:hint="eastAsia" w:ascii="宋体" w:hAnsi="宋体"/>
          <w:bCs/>
          <w:color w:val="auto"/>
          <w:kern w:val="0"/>
          <w:sz w:val="24"/>
          <w:szCs w:val="24"/>
          <w:highlight w:val="none"/>
        </w:rPr>
      </w:pPr>
      <w:r>
        <w:rPr>
          <w:rFonts w:hint="eastAsia" w:ascii="宋体" w:hAnsi="宋体"/>
          <w:bCs/>
          <w:color w:val="auto"/>
          <w:kern w:val="0"/>
          <w:sz w:val="24"/>
          <w:szCs w:val="24"/>
          <w:highlight w:val="none"/>
        </w:rPr>
        <w:t>（</w:t>
      </w:r>
      <w:r>
        <w:rPr>
          <w:rFonts w:hint="eastAsia" w:ascii="宋体" w:hAnsi="宋体"/>
          <w:bCs/>
          <w:color w:val="auto"/>
          <w:kern w:val="0"/>
          <w:sz w:val="24"/>
          <w:szCs w:val="24"/>
          <w:highlight w:val="none"/>
          <w:lang w:val="en-US" w:eastAsia="zh-CN"/>
        </w:rPr>
        <w:t>5</w:t>
      </w:r>
      <w:r>
        <w:rPr>
          <w:rFonts w:hint="eastAsia" w:ascii="宋体" w:hAnsi="宋体"/>
          <w:bCs/>
          <w:color w:val="auto"/>
          <w:kern w:val="0"/>
          <w:sz w:val="24"/>
          <w:szCs w:val="24"/>
          <w:highlight w:val="none"/>
        </w:rPr>
        <w:t>）乙方未按本合同的规定和“服务承诺”提供伴随服务/售后服务的，应按合同总价款的</w:t>
      </w:r>
      <w:r>
        <w:rPr>
          <w:rFonts w:ascii="宋体" w:hAnsi="宋体"/>
          <w:bCs/>
          <w:color w:val="auto"/>
          <w:kern w:val="0"/>
          <w:sz w:val="24"/>
          <w:szCs w:val="24"/>
          <w:highlight w:val="none"/>
          <w:u w:val="single"/>
        </w:rPr>
        <w:t>0.3</w:t>
      </w:r>
      <w:r>
        <w:rPr>
          <w:rFonts w:hint="eastAsia" w:ascii="宋体" w:hAnsi="宋体"/>
          <w:bCs/>
          <w:color w:val="auto"/>
          <w:kern w:val="0"/>
          <w:sz w:val="24"/>
          <w:szCs w:val="24"/>
          <w:highlight w:val="none"/>
        </w:rPr>
        <w:t>%向甲方承担违约责任；</w:t>
      </w:r>
    </w:p>
    <w:p w14:paraId="57A6A5D8">
      <w:pPr>
        <w:pStyle w:val="12"/>
        <w:spacing w:line="360" w:lineRule="auto"/>
        <w:ind w:firstLine="420"/>
        <w:rPr>
          <w:rFonts w:hint="eastAsia" w:ascii="宋体" w:hAnsi="宋体"/>
          <w:bCs/>
          <w:color w:val="auto"/>
          <w:kern w:val="0"/>
          <w:sz w:val="24"/>
          <w:szCs w:val="24"/>
          <w:highlight w:val="none"/>
        </w:rPr>
      </w:pPr>
      <w:r>
        <w:rPr>
          <w:rFonts w:hint="eastAsia" w:ascii="宋体" w:hAnsi="宋体"/>
          <w:bCs/>
          <w:color w:val="auto"/>
          <w:kern w:val="0"/>
          <w:sz w:val="24"/>
          <w:szCs w:val="24"/>
          <w:highlight w:val="none"/>
        </w:rPr>
        <w:t>（</w:t>
      </w:r>
      <w:r>
        <w:rPr>
          <w:rFonts w:hint="eastAsia" w:ascii="宋体" w:hAnsi="宋体"/>
          <w:bCs/>
          <w:color w:val="auto"/>
          <w:kern w:val="0"/>
          <w:sz w:val="24"/>
          <w:szCs w:val="24"/>
          <w:highlight w:val="none"/>
          <w:lang w:val="en-US" w:eastAsia="zh-CN"/>
        </w:rPr>
        <w:t>6</w:t>
      </w:r>
      <w:r>
        <w:rPr>
          <w:rFonts w:hint="eastAsia" w:ascii="宋体" w:hAnsi="宋体"/>
          <w:bCs/>
          <w:color w:val="auto"/>
          <w:kern w:val="0"/>
          <w:sz w:val="24"/>
          <w:szCs w:val="24"/>
          <w:highlight w:val="none"/>
        </w:rPr>
        <w:t>）乙方在承担上述1-7款一项或多项违约责任后，仍应继续履行合同规定的义务（甲方解除合同的除外）。甲方未能及时追究乙方的任何一项违约责任并不表明甲方放弃追究乙方该项或其他违约责任；</w:t>
      </w:r>
    </w:p>
    <w:p w14:paraId="4BE28588">
      <w:pPr>
        <w:pStyle w:val="12"/>
        <w:spacing w:line="360" w:lineRule="auto"/>
        <w:ind w:firstLine="420"/>
        <w:rPr>
          <w:rFonts w:hint="eastAsia" w:ascii="宋体" w:hAnsi="宋体"/>
          <w:bCs/>
          <w:color w:val="auto"/>
          <w:sz w:val="24"/>
          <w:szCs w:val="24"/>
          <w:highlight w:val="none"/>
        </w:rPr>
      </w:pPr>
      <w:r>
        <w:rPr>
          <w:rFonts w:hint="eastAsia" w:ascii="宋体" w:hAnsi="宋体"/>
          <w:bCs/>
          <w:color w:val="auto"/>
          <w:sz w:val="24"/>
          <w:szCs w:val="24"/>
          <w:highlight w:val="none"/>
        </w:rPr>
        <w:t>（</w:t>
      </w:r>
      <w:r>
        <w:rPr>
          <w:rFonts w:hint="eastAsia" w:ascii="宋体" w:hAnsi="宋体"/>
          <w:bCs/>
          <w:color w:val="auto"/>
          <w:sz w:val="24"/>
          <w:szCs w:val="24"/>
          <w:highlight w:val="none"/>
          <w:lang w:val="en-US" w:eastAsia="zh-CN"/>
        </w:rPr>
        <w:t>7</w:t>
      </w:r>
      <w:r>
        <w:rPr>
          <w:rFonts w:hint="eastAsia" w:ascii="宋体" w:hAnsi="宋体"/>
          <w:bCs/>
          <w:color w:val="auto"/>
          <w:sz w:val="24"/>
          <w:szCs w:val="24"/>
          <w:highlight w:val="none"/>
        </w:rPr>
        <w:t>）乙方偿付的违约金不足以弥补甲方损失的，还应按甲方损失尚未弥补的部分，支付赔偿金给甲方。</w:t>
      </w:r>
    </w:p>
    <w:p w14:paraId="323528EF">
      <w:pPr>
        <w:snapToGrid w:val="0"/>
        <w:spacing w:before="120" w:beforeLines="50" w:after="120" w:afterLines="50" w:line="360" w:lineRule="auto"/>
        <w:ind w:firstLine="360" w:firstLineChars="150"/>
        <w:rPr>
          <w:rFonts w:hint="eastAsia" w:ascii="Times New Roman" w:hAnsi="Times New Roman" w:eastAsia="宋体" w:cs="Times New Roman"/>
          <w:bCs/>
          <w:color w:val="auto"/>
          <w:sz w:val="24"/>
          <w:szCs w:val="24"/>
          <w:highlight w:val="none"/>
        </w:rPr>
      </w:pPr>
      <w:bookmarkStart w:id="12" w:name="_Toc27807_WPSOffice_Level2"/>
      <w:r>
        <w:rPr>
          <w:rFonts w:hint="eastAsia" w:ascii="Times New Roman" w:hAnsi="Times New Roman" w:eastAsia="宋体" w:cs="Times New Roman"/>
          <w:bCs/>
          <w:color w:val="auto"/>
          <w:sz w:val="24"/>
          <w:szCs w:val="24"/>
          <w:highlight w:val="none"/>
        </w:rPr>
        <w:t>第十</w:t>
      </w:r>
      <w:r>
        <w:rPr>
          <w:rFonts w:hint="eastAsia" w:ascii="Times New Roman" w:hAnsi="Times New Roman" w:eastAsia="宋体" w:cs="Times New Roman"/>
          <w:bCs/>
          <w:color w:val="auto"/>
          <w:sz w:val="24"/>
          <w:szCs w:val="24"/>
          <w:highlight w:val="none"/>
          <w:lang w:eastAsia="zh-CN"/>
        </w:rPr>
        <w:t>一</w:t>
      </w:r>
      <w:r>
        <w:rPr>
          <w:rFonts w:hint="eastAsia" w:ascii="Times New Roman" w:hAnsi="Times New Roman" w:eastAsia="宋体" w:cs="Times New Roman"/>
          <w:bCs/>
          <w:color w:val="auto"/>
          <w:sz w:val="24"/>
          <w:szCs w:val="24"/>
          <w:highlight w:val="none"/>
        </w:rPr>
        <w:t>条 合同的变更和终止</w:t>
      </w:r>
      <w:bookmarkEnd w:id="12"/>
    </w:p>
    <w:p w14:paraId="311D0A15">
      <w:pPr>
        <w:widowControl/>
        <w:spacing w:line="360" w:lineRule="auto"/>
        <w:ind w:firstLine="480" w:firstLineChars="200"/>
        <w:jc w:val="left"/>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rPr>
        <w:t>除《中华人民共和国政府采购法》第49条、第50条第二款规定的情形外，本合同一经签订，甲乙双方不得擅自变更、中止或终止合同。</w:t>
      </w:r>
    </w:p>
    <w:p w14:paraId="049FE885">
      <w:pPr>
        <w:snapToGrid w:val="0"/>
        <w:spacing w:before="120" w:beforeLines="50" w:after="120" w:afterLines="50" w:line="360" w:lineRule="auto"/>
        <w:ind w:firstLine="360" w:firstLineChars="150"/>
        <w:rPr>
          <w:rFonts w:hint="eastAsia" w:ascii="Times New Roman" w:hAnsi="Times New Roman" w:eastAsia="宋体" w:cs="Times New Roman"/>
          <w:bCs/>
          <w:color w:val="auto"/>
          <w:sz w:val="24"/>
          <w:szCs w:val="24"/>
          <w:highlight w:val="none"/>
        </w:rPr>
      </w:pPr>
      <w:bookmarkStart w:id="13" w:name="_Toc1788_WPSOffice_Level2"/>
      <w:r>
        <w:rPr>
          <w:rFonts w:hint="eastAsia" w:ascii="Times New Roman" w:hAnsi="Times New Roman" w:eastAsia="宋体" w:cs="Times New Roman"/>
          <w:bCs/>
          <w:color w:val="auto"/>
          <w:sz w:val="24"/>
          <w:szCs w:val="24"/>
          <w:highlight w:val="none"/>
        </w:rPr>
        <w:t>第十</w:t>
      </w:r>
      <w:r>
        <w:rPr>
          <w:rFonts w:hint="eastAsia" w:ascii="Times New Roman" w:hAnsi="Times New Roman" w:eastAsia="宋体" w:cs="Times New Roman"/>
          <w:bCs/>
          <w:color w:val="auto"/>
          <w:sz w:val="24"/>
          <w:szCs w:val="24"/>
          <w:highlight w:val="none"/>
          <w:lang w:eastAsia="zh-CN"/>
        </w:rPr>
        <w:t>二</w:t>
      </w:r>
      <w:r>
        <w:rPr>
          <w:rFonts w:hint="eastAsia" w:ascii="Times New Roman" w:hAnsi="Times New Roman" w:eastAsia="宋体" w:cs="Times New Roman"/>
          <w:bCs/>
          <w:color w:val="auto"/>
          <w:sz w:val="24"/>
          <w:szCs w:val="24"/>
          <w:highlight w:val="none"/>
        </w:rPr>
        <w:t>条 争议的解决</w:t>
      </w:r>
      <w:bookmarkEnd w:id="13"/>
    </w:p>
    <w:p w14:paraId="25ECA275">
      <w:pPr>
        <w:pStyle w:val="12"/>
        <w:spacing w:line="360" w:lineRule="auto"/>
        <w:ind w:firstLine="420"/>
        <w:rPr>
          <w:rFonts w:hint="eastAsia" w:ascii="宋体" w:hAnsi="宋体"/>
          <w:bCs/>
          <w:color w:val="auto"/>
          <w:sz w:val="24"/>
          <w:szCs w:val="24"/>
          <w:highlight w:val="none"/>
        </w:rPr>
      </w:pPr>
      <w:r>
        <w:rPr>
          <w:rFonts w:hint="eastAsia" w:ascii="宋体" w:hAnsi="宋体"/>
          <w:bCs/>
          <w:color w:val="auto"/>
          <w:sz w:val="24"/>
          <w:szCs w:val="24"/>
          <w:highlight w:val="none"/>
        </w:rPr>
        <w:t>1.因货物的质量问题发生争议，由质量技术监督部门或其指定的质量鉴定机构进行质量鉴定。货物符合标准的，鉴定费由甲方承担；货物不符合质量标准的，鉴定费由乙方承担。</w:t>
      </w:r>
    </w:p>
    <w:p w14:paraId="1C8287AA">
      <w:pPr>
        <w:pStyle w:val="12"/>
        <w:spacing w:line="360" w:lineRule="auto"/>
        <w:ind w:firstLine="420"/>
        <w:rPr>
          <w:rFonts w:hint="eastAsia" w:ascii="宋体" w:hAnsi="宋体"/>
          <w:bCs/>
          <w:color w:val="auto"/>
          <w:kern w:val="0"/>
          <w:sz w:val="24"/>
          <w:szCs w:val="24"/>
          <w:highlight w:val="none"/>
        </w:rPr>
      </w:pPr>
      <w:r>
        <w:rPr>
          <w:rFonts w:hint="eastAsia" w:ascii="宋体" w:hAnsi="宋体"/>
          <w:bCs/>
          <w:color w:val="auto"/>
          <w:kern w:val="0"/>
          <w:sz w:val="24"/>
          <w:szCs w:val="24"/>
          <w:highlight w:val="none"/>
        </w:rPr>
        <w:t>2.因履行本合同引起的或与本合同有关的争议，甲、乙双方应首先通过友好协商解决，如果协商不成，则采取以下第</w:t>
      </w:r>
      <w:r>
        <w:rPr>
          <w:rFonts w:hint="eastAsia" w:ascii="宋体" w:hAnsi="宋体"/>
          <w:bCs/>
          <w:color w:val="auto"/>
          <w:kern w:val="0"/>
          <w:sz w:val="24"/>
          <w:szCs w:val="24"/>
          <w:highlight w:val="none"/>
          <w:u w:val="single"/>
        </w:rPr>
        <w:t>（1）</w:t>
      </w:r>
      <w:r>
        <w:rPr>
          <w:rFonts w:hint="eastAsia" w:ascii="宋体" w:hAnsi="宋体"/>
          <w:bCs/>
          <w:color w:val="auto"/>
          <w:kern w:val="0"/>
          <w:sz w:val="24"/>
          <w:szCs w:val="24"/>
          <w:highlight w:val="none"/>
        </w:rPr>
        <w:t>种方式解决争议：</w:t>
      </w:r>
    </w:p>
    <w:p w14:paraId="65AE3D99">
      <w:pPr>
        <w:pStyle w:val="12"/>
        <w:spacing w:line="360" w:lineRule="auto"/>
        <w:ind w:firstLine="420"/>
        <w:rPr>
          <w:rFonts w:hint="eastAsia" w:ascii="宋体" w:hAnsi="宋体"/>
          <w:bCs/>
          <w:color w:val="auto"/>
          <w:kern w:val="0"/>
          <w:sz w:val="24"/>
          <w:szCs w:val="24"/>
          <w:highlight w:val="none"/>
        </w:rPr>
      </w:pPr>
      <w:r>
        <w:rPr>
          <w:rFonts w:hint="eastAsia" w:ascii="宋体" w:hAnsi="宋体"/>
          <w:bCs/>
          <w:color w:val="auto"/>
          <w:kern w:val="0"/>
          <w:sz w:val="24"/>
          <w:szCs w:val="24"/>
          <w:highlight w:val="none"/>
        </w:rPr>
        <w:t>（1）向甲方所在地有管辖权的人民法院提起诉讼；</w:t>
      </w:r>
    </w:p>
    <w:p w14:paraId="4A245E4C">
      <w:pPr>
        <w:pStyle w:val="12"/>
        <w:spacing w:line="360" w:lineRule="auto"/>
        <w:ind w:firstLine="420"/>
        <w:rPr>
          <w:rFonts w:hint="eastAsia" w:ascii="宋体" w:hAnsi="宋体"/>
          <w:bCs/>
          <w:color w:val="auto"/>
          <w:kern w:val="0"/>
          <w:sz w:val="24"/>
          <w:szCs w:val="24"/>
          <w:highlight w:val="none"/>
        </w:rPr>
      </w:pPr>
      <w:r>
        <w:rPr>
          <w:rFonts w:hint="eastAsia" w:ascii="宋体" w:hAnsi="宋体"/>
          <w:bCs/>
          <w:color w:val="auto"/>
          <w:kern w:val="0"/>
          <w:sz w:val="24"/>
          <w:szCs w:val="24"/>
          <w:highlight w:val="none"/>
        </w:rPr>
        <w:t>（2）向____________仲裁委员会按其仲裁规则申请仲裁。</w:t>
      </w:r>
    </w:p>
    <w:p w14:paraId="0DAF786D">
      <w:pPr>
        <w:pStyle w:val="12"/>
        <w:spacing w:line="360" w:lineRule="auto"/>
        <w:ind w:firstLine="420"/>
        <w:rPr>
          <w:rFonts w:hint="eastAsia" w:ascii="宋体" w:hAnsi="宋体"/>
          <w:bCs/>
          <w:color w:val="auto"/>
          <w:kern w:val="0"/>
          <w:sz w:val="24"/>
          <w:szCs w:val="24"/>
          <w:highlight w:val="none"/>
        </w:rPr>
      </w:pPr>
      <w:r>
        <w:rPr>
          <w:rFonts w:hint="eastAsia" w:ascii="宋体" w:hAnsi="宋体"/>
          <w:bCs/>
          <w:color w:val="auto"/>
          <w:kern w:val="0"/>
          <w:sz w:val="24"/>
          <w:szCs w:val="24"/>
          <w:highlight w:val="none"/>
        </w:rPr>
        <w:t>3.在仲裁期间，本合同应继续履行。</w:t>
      </w:r>
    </w:p>
    <w:p w14:paraId="19B28058">
      <w:pPr>
        <w:snapToGrid w:val="0"/>
        <w:spacing w:before="120" w:beforeLines="50" w:after="120" w:afterLines="50" w:line="360" w:lineRule="auto"/>
        <w:ind w:firstLine="480" w:firstLineChars="200"/>
        <w:textAlignment w:val="baseline"/>
        <w:rPr>
          <w:rFonts w:hint="eastAsia" w:ascii="宋体" w:hAnsi="宋体"/>
          <w:bCs/>
          <w:color w:val="auto"/>
          <w:sz w:val="24"/>
          <w:szCs w:val="24"/>
          <w:highlight w:val="none"/>
        </w:rPr>
      </w:pPr>
      <w:bookmarkStart w:id="14" w:name="_Toc14174_WPSOffice_Level2"/>
      <w:r>
        <w:rPr>
          <w:rFonts w:hint="eastAsia" w:ascii="宋体" w:hAnsi="宋体"/>
          <w:bCs/>
          <w:color w:val="auto"/>
          <w:sz w:val="24"/>
          <w:szCs w:val="24"/>
          <w:highlight w:val="none"/>
        </w:rPr>
        <w:t>第十</w:t>
      </w:r>
      <w:r>
        <w:rPr>
          <w:rFonts w:hint="eastAsia" w:ascii="宋体" w:hAnsi="宋体"/>
          <w:bCs/>
          <w:color w:val="auto"/>
          <w:sz w:val="24"/>
          <w:szCs w:val="24"/>
          <w:highlight w:val="none"/>
          <w:lang w:eastAsia="zh-CN"/>
        </w:rPr>
        <w:t>三</w:t>
      </w:r>
      <w:r>
        <w:rPr>
          <w:rFonts w:hint="eastAsia" w:ascii="宋体" w:hAnsi="宋体"/>
          <w:bCs/>
          <w:color w:val="auto"/>
          <w:sz w:val="24"/>
          <w:szCs w:val="24"/>
          <w:highlight w:val="none"/>
        </w:rPr>
        <w:t>条 合同文件</w:t>
      </w:r>
      <w:bookmarkEnd w:id="14"/>
    </w:p>
    <w:p w14:paraId="26DF1B1B">
      <w:pPr>
        <w:snapToGrid w:val="0"/>
        <w:spacing w:before="120" w:beforeLines="50" w:after="120" w:afterLines="50" w:line="360" w:lineRule="auto"/>
        <w:ind w:firstLine="480" w:firstLineChars="200"/>
        <w:textAlignment w:val="baseline"/>
        <w:rPr>
          <w:rFonts w:hint="eastAsia" w:ascii="宋体" w:hAnsi="宋体"/>
          <w:bCs/>
          <w:color w:val="auto"/>
          <w:sz w:val="24"/>
          <w:szCs w:val="24"/>
          <w:highlight w:val="none"/>
        </w:rPr>
      </w:pPr>
      <w:r>
        <w:rPr>
          <w:rFonts w:hint="eastAsia" w:ascii="宋体" w:hAnsi="宋体"/>
          <w:bCs/>
          <w:color w:val="auto"/>
          <w:sz w:val="24"/>
          <w:szCs w:val="24"/>
          <w:highlight w:val="none"/>
        </w:rPr>
        <w:t>详细技术说明及其他有关合同项目的特定信息由合同附件予以说明，下列文件构成本合同的组成部分，应该认为是一个整体，彼此相互解释，相互补充。组成合同的多个文件的优先支配地位的次序如下：</w:t>
      </w:r>
    </w:p>
    <w:p w14:paraId="1C2BEE46">
      <w:pPr>
        <w:snapToGrid w:val="0"/>
        <w:spacing w:line="360" w:lineRule="auto"/>
        <w:ind w:firstLine="539"/>
        <w:rPr>
          <w:rFonts w:hint="eastAsia" w:ascii="宋体" w:hAnsi="宋体"/>
          <w:bCs/>
          <w:color w:val="auto"/>
          <w:sz w:val="24"/>
          <w:szCs w:val="24"/>
          <w:highlight w:val="none"/>
        </w:rPr>
      </w:pPr>
      <w:r>
        <w:rPr>
          <w:rFonts w:hint="eastAsia" w:ascii="宋体" w:hAnsi="宋体"/>
          <w:bCs/>
          <w:color w:val="auto"/>
          <w:sz w:val="24"/>
          <w:szCs w:val="24"/>
          <w:highlight w:val="none"/>
        </w:rPr>
        <w:t>1.本合同书</w:t>
      </w:r>
    </w:p>
    <w:p w14:paraId="5CCCD538">
      <w:pPr>
        <w:snapToGrid w:val="0"/>
        <w:spacing w:line="360" w:lineRule="auto"/>
        <w:ind w:firstLine="539"/>
        <w:rPr>
          <w:rFonts w:hint="eastAsia" w:ascii="宋体" w:hAnsi="宋体"/>
          <w:bCs/>
          <w:color w:val="auto"/>
          <w:sz w:val="24"/>
          <w:szCs w:val="24"/>
          <w:highlight w:val="none"/>
        </w:rPr>
      </w:pPr>
      <w:r>
        <w:rPr>
          <w:rFonts w:hint="eastAsia" w:ascii="宋体" w:hAnsi="宋体"/>
          <w:bCs/>
          <w:color w:val="auto"/>
          <w:sz w:val="24"/>
          <w:szCs w:val="24"/>
          <w:highlight w:val="none"/>
        </w:rPr>
        <w:t>2.成交通知书</w:t>
      </w:r>
    </w:p>
    <w:p w14:paraId="4D572326">
      <w:pPr>
        <w:snapToGrid w:val="0"/>
        <w:spacing w:line="360" w:lineRule="auto"/>
        <w:ind w:firstLine="539"/>
        <w:rPr>
          <w:rFonts w:hint="eastAsia" w:ascii="宋体" w:hAnsi="宋体"/>
          <w:bCs/>
          <w:color w:val="auto"/>
          <w:sz w:val="24"/>
          <w:szCs w:val="24"/>
          <w:highlight w:val="none"/>
        </w:rPr>
      </w:pPr>
      <w:r>
        <w:rPr>
          <w:rFonts w:hint="eastAsia" w:ascii="宋体" w:hAnsi="宋体"/>
          <w:bCs/>
          <w:color w:val="auto"/>
          <w:sz w:val="24"/>
          <w:szCs w:val="24"/>
          <w:highlight w:val="none"/>
        </w:rPr>
        <w:t>3.协议</w:t>
      </w:r>
    </w:p>
    <w:p w14:paraId="333D63F9">
      <w:pPr>
        <w:snapToGrid w:val="0"/>
        <w:spacing w:line="360" w:lineRule="auto"/>
        <w:ind w:firstLine="539"/>
        <w:rPr>
          <w:rFonts w:hint="eastAsia" w:ascii="宋体" w:hAnsi="宋体"/>
          <w:bCs/>
          <w:color w:val="auto"/>
          <w:sz w:val="24"/>
          <w:szCs w:val="24"/>
          <w:highlight w:val="none"/>
        </w:rPr>
      </w:pPr>
      <w:r>
        <w:rPr>
          <w:rFonts w:hint="eastAsia" w:ascii="宋体" w:hAnsi="宋体"/>
          <w:bCs/>
          <w:color w:val="auto"/>
          <w:sz w:val="24"/>
          <w:szCs w:val="24"/>
          <w:highlight w:val="none"/>
        </w:rPr>
        <w:t>4.</w:t>
      </w:r>
      <w:r>
        <w:rPr>
          <w:rFonts w:hint="eastAsia" w:ascii="宋体" w:hAnsi="宋体"/>
          <w:bCs/>
          <w:color w:val="auto"/>
          <w:sz w:val="24"/>
          <w:szCs w:val="24"/>
          <w:highlight w:val="none"/>
          <w:lang w:eastAsia="zh-CN"/>
        </w:rPr>
        <w:t>招标</w:t>
      </w:r>
      <w:r>
        <w:rPr>
          <w:rFonts w:hint="eastAsia" w:ascii="宋体" w:hAnsi="宋体"/>
          <w:bCs/>
          <w:color w:val="auto"/>
          <w:sz w:val="24"/>
          <w:szCs w:val="24"/>
          <w:highlight w:val="none"/>
        </w:rPr>
        <w:t>文件(含澄清或者修改文件)</w:t>
      </w:r>
    </w:p>
    <w:p w14:paraId="02A48A79">
      <w:pPr>
        <w:snapToGrid w:val="0"/>
        <w:spacing w:line="360" w:lineRule="auto"/>
        <w:ind w:firstLine="539"/>
        <w:rPr>
          <w:rFonts w:hint="eastAsia" w:ascii="宋体" w:hAnsi="宋体" w:eastAsia="宋体"/>
          <w:bCs/>
          <w:color w:val="auto"/>
          <w:sz w:val="24"/>
          <w:szCs w:val="24"/>
          <w:highlight w:val="none"/>
          <w:lang w:eastAsia="zh-CN"/>
        </w:rPr>
      </w:pPr>
      <w:r>
        <w:rPr>
          <w:rFonts w:hint="eastAsia" w:ascii="宋体" w:hAnsi="宋体"/>
          <w:bCs/>
          <w:color w:val="auto"/>
          <w:sz w:val="24"/>
          <w:szCs w:val="24"/>
          <w:highlight w:val="none"/>
        </w:rPr>
        <w:t>5.</w:t>
      </w:r>
      <w:r>
        <w:rPr>
          <w:rFonts w:hint="eastAsia" w:ascii="宋体" w:hAnsi="宋体"/>
          <w:bCs/>
          <w:color w:val="auto"/>
          <w:sz w:val="24"/>
          <w:szCs w:val="24"/>
          <w:highlight w:val="none"/>
          <w:lang w:eastAsia="zh-CN"/>
        </w:rPr>
        <w:t>投标文件</w:t>
      </w:r>
    </w:p>
    <w:p w14:paraId="2FA22141">
      <w:pPr>
        <w:snapToGrid w:val="0"/>
        <w:spacing w:before="120" w:beforeLines="50" w:after="120" w:afterLines="50" w:line="360" w:lineRule="auto"/>
        <w:ind w:firstLine="360" w:firstLineChars="150"/>
        <w:rPr>
          <w:rFonts w:hint="eastAsia"/>
          <w:bCs/>
          <w:color w:val="auto"/>
          <w:kern w:val="0"/>
          <w:sz w:val="24"/>
          <w:szCs w:val="24"/>
          <w:highlight w:val="none"/>
        </w:rPr>
      </w:pPr>
      <w:bookmarkStart w:id="15" w:name="_Toc697_WPSOffice_Level2"/>
      <w:r>
        <w:rPr>
          <w:rFonts w:hint="eastAsia"/>
          <w:bCs/>
          <w:color w:val="auto"/>
          <w:sz w:val="24"/>
          <w:szCs w:val="24"/>
          <w:highlight w:val="none"/>
        </w:rPr>
        <w:t>第十</w:t>
      </w:r>
      <w:r>
        <w:rPr>
          <w:rFonts w:hint="eastAsia"/>
          <w:bCs/>
          <w:color w:val="auto"/>
          <w:sz w:val="24"/>
          <w:szCs w:val="24"/>
          <w:highlight w:val="none"/>
          <w:lang w:eastAsia="zh-CN"/>
        </w:rPr>
        <w:t>四</w:t>
      </w:r>
      <w:r>
        <w:rPr>
          <w:rFonts w:hint="eastAsia"/>
          <w:bCs/>
          <w:color w:val="auto"/>
          <w:sz w:val="24"/>
          <w:szCs w:val="24"/>
          <w:highlight w:val="none"/>
        </w:rPr>
        <w:t xml:space="preserve">条 </w:t>
      </w:r>
      <w:r>
        <w:rPr>
          <w:rFonts w:hint="eastAsia"/>
          <w:bCs/>
          <w:color w:val="auto"/>
          <w:kern w:val="0"/>
          <w:sz w:val="24"/>
          <w:szCs w:val="24"/>
          <w:highlight w:val="none"/>
        </w:rPr>
        <w:t>合同生效及其他</w:t>
      </w:r>
      <w:bookmarkEnd w:id="15"/>
    </w:p>
    <w:p w14:paraId="5432ADE7">
      <w:pPr>
        <w:snapToGrid w:val="0"/>
        <w:spacing w:line="360" w:lineRule="auto"/>
        <w:ind w:firstLine="539"/>
        <w:rPr>
          <w:rFonts w:hint="eastAsia" w:ascii="宋体" w:hAnsi="宋体"/>
          <w:bCs/>
          <w:color w:val="auto"/>
          <w:sz w:val="24"/>
          <w:szCs w:val="24"/>
          <w:highlight w:val="none"/>
        </w:rPr>
      </w:pPr>
      <w:r>
        <w:rPr>
          <w:rFonts w:hint="eastAsia" w:ascii="宋体" w:hAnsi="宋体" w:cs="宋体"/>
          <w:bCs/>
          <w:color w:val="auto"/>
          <w:kern w:val="0"/>
          <w:sz w:val="24"/>
          <w:szCs w:val="24"/>
          <w:highlight w:val="none"/>
        </w:rPr>
        <w:t>1.</w:t>
      </w:r>
      <w:r>
        <w:rPr>
          <w:rFonts w:hint="eastAsia" w:ascii="宋体" w:hAnsi="宋体"/>
          <w:bCs/>
          <w:color w:val="auto"/>
          <w:sz w:val="24"/>
          <w:szCs w:val="24"/>
          <w:highlight w:val="none"/>
        </w:rPr>
        <w:t>如有未尽事宜，由双方依法订立补充合同。</w:t>
      </w:r>
    </w:p>
    <w:p w14:paraId="7C5D7B87">
      <w:pPr>
        <w:snapToGrid w:val="0"/>
        <w:spacing w:line="360" w:lineRule="auto"/>
        <w:ind w:firstLine="539"/>
        <w:rPr>
          <w:rFonts w:hint="eastAsia" w:ascii="宋体" w:hAnsi="宋体"/>
          <w:bCs/>
          <w:color w:val="auto"/>
          <w:kern w:val="0"/>
          <w:sz w:val="24"/>
          <w:szCs w:val="24"/>
          <w:highlight w:val="none"/>
        </w:rPr>
      </w:pPr>
      <w:r>
        <w:rPr>
          <w:rFonts w:hint="eastAsia" w:ascii="宋体" w:hAnsi="宋体"/>
          <w:bCs/>
          <w:color w:val="auto"/>
          <w:kern w:val="0"/>
          <w:sz w:val="24"/>
          <w:szCs w:val="24"/>
          <w:highlight w:val="none"/>
        </w:rPr>
        <w:t>2.本合同自签订之日起生效。</w:t>
      </w:r>
    </w:p>
    <w:p w14:paraId="61E957EC">
      <w:pPr>
        <w:snapToGrid w:val="0"/>
        <w:spacing w:line="360" w:lineRule="auto"/>
        <w:ind w:firstLine="539"/>
        <w:rPr>
          <w:rFonts w:hint="eastAsia" w:ascii="宋体" w:hAnsi="宋体"/>
          <w:bCs/>
          <w:color w:val="auto"/>
          <w:sz w:val="24"/>
          <w:szCs w:val="24"/>
          <w:highlight w:val="none"/>
        </w:rPr>
      </w:pPr>
      <w:r>
        <w:rPr>
          <w:rFonts w:hint="eastAsia" w:ascii="宋体" w:hAnsi="宋体"/>
          <w:bCs/>
          <w:color w:val="auto"/>
          <w:kern w:val="0"/>
          <w:sz w:val="24"/>
          <w:szCs w:val="24"/>
          <w:highlight w:val="none"/>
        </w:rPr>
        <w:t>3.本合同一式</w:t>
      </w:r>
      <w:r>
        <w:rPr>
          <w:rFonts w:hint="eastAsia" w:ascii="宋体" w:hAnsi="宋体"/>
          <w:bCs/>
          <w:color w:val="auto"/>
          <w:kern w:val="0"/>
          <w:sz w:val="24"/>
          <w:szCs w:val="24"/>
          <w:highlight w:val="none"/>
          <w:u w:val="single"/>
        </w:rPr>
        <w:t>陆</w:t>
      </w:r>
      <w:r>
        <w:rPr>
          <w:rFonts w:hint="eastAsia" w:ascii="宋体" w:hAnsi="宋体"/>
          <w:bCs/>
          <w:color w:val="auto"/>
          <w:kern w:val="0"/>
          <w:sz w:val="24"/>
          <w:szCs w:val="24"/>
          <w:highlight w:val="none"/>
        </w:rPr>
        <w:t>份，具有同等法律效力，甲乙双方各执</w:t>
      </w:r>
      <w:r>
        <w:rPr>
          <w:rFonts w:hint="eastAsia" w:ascii="宋体" w:hAnsi="宋体"/>
          <w:bCs/>
          <w:color w:val="auto"/>
          <w:kern w:val="0"/>
          <w:sz w:val="24"/>
          <w:szCs w:val="24"/>
          <w:highlight w:val="none"/>
          <w:u w:val="single"/>
        </w:rPr>
        <w:t>贰</w:t>
      </w:r>
      <w:r>
        <w:rPr>
          <w:rFonts w:hint="eastAsia" w:ascii="宋体" w:hAnsi="宋体"/>
          <w:bCs/>
          <w:color w:val="auto"/>
          <w:kern w:val="0"/>
          <w:sz w:val="24"/>
          <w:szCs w:val="24"/>
          <w:highlight w:val="none"/>
        </w:rPr>
        <w:t>份，一份报送政府采购监督管理部门备案，一份采购代理机构存档。</w:t>
      </w:r>
    </w:p>
    <w:p w14:paraId="24C78D15">
      <w:pPr>
        <w:spacing w:line="360" w:lineRule="auto"/>
        <w:ind w:firstLine="480" w:firstLineChars="200"/>
        <w:rPr>
          <w:rFonts w:hint="eastAsia" w:ascii="宋体" w:hAnsi="宋体"/>
          <w:bCs/>
          <w:color w:val="auto"/>
          <w:sz w:val="24"/>
          <w:szCs w:val="24"/>
          <w:highlight w:val="none"/>
        </w:rPr>
      </w:pPr>
    </w:p>
    <w:p w14:paraId="3ADCF350">
      <w:pPr>
        <w:spacing w:line="360" w:lineRule="auto"/>
        <w:ind w:firstLine="480" w:firstLineChars="200"/>
        <w:rPr>
          <w:rFonts w:hint="eastAsia" w:ascii="宋体" w:hAnsi="宋体"/>
          <w:bCs/>
          <w:color w:val="auto"/>
          <w:sz w:val="24"/>
          <w:szCs w:val="24"/>
          <w:highlight w:val="none"/>
        </w:rPr>
      </w:pPr>
    </w:p>
    <w:p w14:paraId="7C368729">
      <w:pPr>
        <w:spacing w:before="120" w:beforeLines="50" w:after="120" w:afterLines="50" w:line="360" w:lineRule="auto"/>
        <w:ind w:firstLine="480" w:firstLineChars="200"/>
        <w:rPr>
          <w:rFonts w:hint="eastAsia" w:ascii="宋体" w:hAnsi="宋体"/>
          <w:bCs/>
          <w:color w:val="auto"/>
          <w:sz w:val="24"/>
          <w:szCs w:val="24"/>
          <w:highlight w:val="none"/>
        </w:rPr>
      </w:pPr>
      <w:r>
        <w:rPr>
          <w:rFonts w:hint="eastAsia" w:ascii="宋体" w:hAnsi="宋体"/>
          <w:bCs/>
          <w:color w:val="auto"/>
          <w:sz w:val="24"/>
          <w:szCs w:val="24"/>
          <w:highlight w:val="none"/>
        </w:rPr>
        <w:br w:type="page"/>
      </w:r>
      <w:r>
        <w:rPr>
          <w:rFonts w:hint="eastAsia" w:ascii="宋体" w:hAnsi="宋体"/>
          <w:bCs/>
          <w:color w:val="auto"/>
          <w:sz w:val="24"/>
          <w:szCs w:val="24"/>
          <w:highlight w:val="none"/>
        </w:rPr>
        <w:t xml:space="preserve">甲方：   （盖章）     </w:t>
      </w:r>
      <w:r>
        <w:rPr>
          <w:rFonts w:hint="eastAsia" w:ascii="宋体" w:hAnsi="宋体"/>
          <w:bCs/>
          <w:color w:val="auto"/>
          <w:sz w:val="24"/>
          <w:szCs w:val="24"/>
          <w:highlight w:val="none"/>
          <w:lang w:val="en-US" w:eastAsia="zh-CN"/>
        </w:rPr>
        <w:t xml:space="preserve">            </w:t>
      </w:r>
      <w:r>
        <w:rPr>
          <w:rFonts w:hint="eastAsia" w:ascii="宋体" w:hAnsi="宋体"/>
          <w:bCs/>
          <w:color w:val="auto"/>
          <w:sz w:val="24"/>
          <w:szCs w:val="24"/>
          <w:highlight w:val="none"/>
        </w:rPr>
        <w:t xml:space="preserve"> 乙方：   （盖章）</w:t>
      </w:r>
    </w:p>
    <w:p w14:paraId="12136ADF">
      <w:pPr>
        <w:spacing w:before="120" w:beforeLines="50" w:after="120" w:afterLines="50" w:line="360" w:lineRule="auto"/>
        <w:ind w:firstLine="480" w:firstLineChars="200"/>
        <w:rPr>
          <w:rFonts w:hint="eastAsia" w:ascii="宋体" w:hAnsi="宋体"/>
          <w:bCs/>
          <w:color w:val="auto"/>
          <w:sz w:val="24"/>
          <w:szCs w:val="24"/>
          <w:highlight w:val="none"/>
        </w:rPr>
      </w:pPr>
      <w:r>
        <w:rPr>
          <w:rFonts w:hint="eastAsia" w:ascii="宋体" w:hAnsi="宋体"/>
          <w:bCs/>
          <w:color w:val="auto"/>
          <w:sz w:val="24"/>
          <w:szCs w:val="24"/>
          <w:highlight w:val="none"/>
        </w:rPr>
        <w:t>法定代表人/委托代理人：            法定代表人/委托代理人：</w:t>
      </w:r>
    </w:p>
    <w:p w14:paraId="6B808192">
      <w:pPr>
        <w:spacing w:before="120" w:beforeLines="50" w:after="120" w:afterLines="50" w:line="360" w:lineRule="auto"/>
        <w:ind w:firstLine="480" w:firstLineChars="200"/>
        <w:rPr>
          <w:rFonts w:hint="eastAsia" w:ascii="宋体" w:hAnsi="宋体"/>
          <w:bCs/>
          <w:color w:val="auto"/>
          <w:sz w:val="24"/>
          <w:szCs w:val="24"/>
          <w:highlight w:val="none"/>
        </w:rPr>
      </w:pPr>
      <w:r>
        <w:rPr>
          <w:rFonts w:hint="eastAsia" w:ascii="宋体" w:hAnsi="宋体"/>
          <w:bCs/>
          <w:color w:val="auto"/>
          <w:sz w:val="24"/>
          <w:szCs w:val="24"/>
          <w:highlight w:val="none"/>
        </w:rPr>
        <w:t>地    址：                         地    址：</w:t>
      </w:r>
    </w:p>
    <w:p w14:paraId="39A81B3E">
      <w:pPr>
        <w:spacing w:before="120" w:beforeLines="50" w:after="120" w:afterLines="50" w:line="360" w:lineRule="auto"/>
        <w:ind w:firstLine="480" w:firstLineChars="200"/>
        <w:rPr>
          <w:rFonts w:hint="eastAsia" w:ascii="宋体" w:hAnsi="宋体"/>
          <w:bCs/>
          <w:color w:val="auto"/>
          <w:sz w:val="24"/>
          <w:szCs w:val="24"/>
          <w:highlight w:val="none"/>
        </w:rPr>
      </w:pPr>
      <w:r>
        <w:rPr>
          <w:rFonts w:hint="eastAsia" w:ascii="宋体" w:hAnsi="宋体"/>
          <w:bCs/>
          <w:color w:val="auto"/>
          <w:sz w:val="24"/>
          <w:szCs w:val="24"/>
          <w:highlight w:val="none"/>
        </w:rPr>
        <w:t>开户银行：                         开户银行：</w:t>
      </w:r>
    </w:p>
    <w:p w14:paraId="16CA17EC">
      <w:pPr>
        <w:spacing w:before="120" w:beforeLines="50" w:after="120" w:afterLines="50" w:line="360" w:lineRule="auto"/>
        <w:ind w:firstLine="480" w:firstLineChars="200"/>
        <w:rPr>
          <w:rFonts w:hint="eastAsia" w:ascii="宋体" w:hAnsi="宋体"/>
          <w:bCs/>
          <w:color w:val="auto"/>
          <w:sz w:val="24"/>
          <w:szCs w:val="24"/>
          <w:highlight w:val="none"/>
        </w:rPr>
      </w:pPr>
      <w:r>
        <w:rPr>
          <w:rFonts w:hint="eastAsia" w:ascii="宋体" w:hAnsi="宋体"/>
          <w:bCs/>
          <w:color w:val="auto"/>
          <w:sz w:val="24"/>
          <w:szCs w:val="24"/>
          <w:highlight w:val="none"/>
        </w:rPr>
        <w:t>账    号：                         账    号：</w:t>
      </w:r>
    </w:p>
    <w:p w14:paraId="7C111893">
      <w:pPr>
        <w:spacing w:before="120" w:beforeLines="50" w:after="120" w:afterLines="50" w:line="360" w:lineRule="auto"/>
        <w:ind w:firstLine="480" w:firstLineChars="200"/>
        <w:rPr>
          <w:rFonts w:hint="eastAsia" w:ascii="宋体" w:hAnsi="宋体"/>
          <w:bCs/>
          <w:color w:val="auto"/>
          <w:sz w:val="24"/>
          <w:szCs w:val="24"/>
          <w:highlight w:val="none"/>
        </w:rPr>
      </w:pPr>
      <w:r>
        <w:rPr>
          <w:rFonts w:hint="eastAsia" w:ascii="宋体" w:hAnsi="宋体"/>
          <w:bCs/>
          <w:color w:val="auto"/>
          <w:sz w:val="24"/>
          <w:szCs w:val="24"/>
          <w:highlight w:val="none"/>
        </w:rPr>
        <w:t>电    话：                         电    话：</w:t>
      </w:r>
    </w:p>
    <w:p w14:paraId="13A5AF5D">
      <w:pPr>
        <w:spacing w:before="120" w:beforeLines="50" w:after="120" w:afterLines="50" w:line="360" w:lineRule="auto"/>
        <w:ind w:firstLine="480" w:firstLineChars="200"/>
        <w:rPr>
          <w:rFonts w:hint="eastAsia" w:ascii="宋体" w:hAnsi="宋体"/>
          <w:bCs/>
          <w:color w:val="auto"/>
          <w:sz w:val="24"/>
          <w:szCs w:val="24"/>
          <w:highlight w:val="none"/>
        </w:rPr>
      </w:pPr>
      <w:r>
        <w:rPr>
          <w:rFonts w:hint="eastAsia" w:ascii="宋体" w:hAnsi="宋体"/>
          <w:bCs/>
          <w:color w:val="auto"/>
          <w:sz w:val="24"/>
          <w:szCs w:val="24"/>
          <w:highlight w:val="none"/>
        </w:rPr>
        <w:t>传    真：                         传    真：</w:t>
      </w:r>
    </w:p>
    <w:p w14:paraId="7E6E1255">
      <w:pPr>
        <w:spacing w:before="120" w:beforeLines="50" w:after="120" w:afterLines="50" w:line="360" w:lineRule="auto"/>
        <w:ind w:firstLine="480" w:firstLineChars="200"/>
        <w:rPr>
          <w:rFonts w:hint="eastAsia" w:ascii="宋体" w:hAnsi="宋体"/>
          <w:bCs/>
          <w:color w:val="auto"/>
          <w:sz w:val="24"/>
          <w:szCs w:val="24"/>
          <w:highlight w:val="none"/>
        </w:rPr>
      </w:pPr>
      <w:r>
        <w:rPr>
          <w:rFonts w:hint="eastAsia" w:ascii="宋体" w:hAnsi="宋体"/>
          <w:bCs/>
          <w:color w:val="auto"/>
          <w:sz w:val="24"/>
          <w:szCs w:val="24"/>
          <w:highlight w:val="none"/>
        </w:rPr>
        <w:t>签约日期：    年  月  日           签约日期：    年  月  日</w:t>
      </w:r>
    </w:p>
    <w:p w14:paraId="4601782D">
      <w:pPr>
        <w:spacing w:line="400" w:lineRule="exact"/>
        <w:ind w:firstLine="480" w:firstLineChars="200"/>
        <w:rPr>
          <w:rFonts w:hint="eastAsia" w:ascii="仿宋_GB2312" w:eastAsia="仿宋_GB2312"/>
          <w:bCs/>
          <w:color w:val="auto"/>
          <w:sz w:val="24"/>
          <w:szCs w:val="24"/>
          <w:highlight w:val="none"/>
        </w:rPr>
      </w:pPr>
    </w:p>
    <w:p w14:paraId="23C98817">
      <w:pPr>
        <w:pStyle w:val="7"/>
        <w:spacing w:line="480"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eastAsia="zh-CN"/>
        </w:rPr>
        <w:t>见证方：</w:t>
      </w:r>
      <w:r>
        <w:rPr>
          <w:rFonts w:hint="eastAsia" w:ascii="宋体" w:hAnsi="宋体" w:eastAsia="宋体" w:cs="宋体"/>
          <w:sz w:val="24"/>
          <w:szCs w:val="24"/>
          <w:lang w:val="en-US" w:eastAsia="zh-CN"/>
        </w:rPr>
        <w:t xml:space="preserve">   （盖章）</w:t>
      </w:r>
    </w:p>
    <w:p w14:paraId="690A0A50">
      <w:pPr>
        <w:spacing w:line="480" w:lineRule="auto"/>
        <w:ind w:firstLine="480" w:firstLineChars="200"/>
        <w:jc w:val="left"/>
        <w:rPr>
          <w:rFonts w:hint="eastAsia" w:ascii="宋体" w:hAnsi="宋体" w:eastAsia="宋体" w:cs="宋体"/>
          <w:sz w:val="24"/>
          <w:szCs w:val="24"/>
        </w:rPr>
      </w:pPr>
      <w:r>
        <w:rPr>
          <w:rFonts w:hint="eastAsia" w:ascii="宋体" w:hAnsi="宋体"/>
          <w:bCs/>
          <w:color w:val="auto"/>
          <w:sz w:val="24"/>
          <w:szCs w:val="24"/>
          <w:highlight w:val="none"/>
        </w:rPr>
        <w:t xml:space="preserve">签约日期：    年  月  日  </w:t>
      </w:r>
    </w:p>
    <w:bookmarkEnd w:id="0"/>
    <w:p w14:paraId="6552E924">
      <w:pPr>
        <w:rPr>
          <w:rFonts w:hint="eastAsia" w:ascii="宋体" w:hAnsi="宋体" w:cs="宋体"/>
          <w:sz w:val="24"/>
          <w:szCs w:val="24"/>
        </w:rPr>
      </w:pPr>
    </w:p>
    <w:p w14:paraId="1331CC6D"/>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1635FB"/>
    <w:multiLevelType w:val="singleLevel"/>
    <w:tmpl w:val="1F1635FB"/>
    <w:lvl w:ilvl="0" w:tentative="0">
      <w:start w:val="1"/>
      <w:numFmt w:val="chineseCounting"/>
      <w:pStyle w:val="4"/>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lNmYzNWExYzJmNzc5MzI3N2Y2MzVhODVlNDg3YjkifQ=="/>
  </w:docVars>
  <w:rsids>
    <w:rsidRoot w:val="00000000"/>
    <w:rsid w:val="12107D96"/>
    <w:rsid w:val="478A148A"/>
    <w:rsid w:val="4DA208AC"/>
    <w:rsid w:val="57B11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0"/>
    <w:pPr>
      <w:keepNext/>
      <w:keepLines/>
      <w:spacing w:line="576" w:lineRule="auto"/>
      <w:jc w:val="center"/>
      <w:outlineLvl w:val="0"/>
    </w:pPr>
    <w:rPr>
      <w:rFonts w:ascii="Cambria" w:hAnsi="Cambria" w:eastAsia="Arial"/>
      <w:b/>
      <w:kern w:val="44"/>
      <w:sz w:val="32"/>
      <w:szCs w:val="20"/>
    </w:rPr>
  </w:style>
  <w:style w:type="paragraph" w:styleId="4">
    <w:name w:val="heading 2"/>
    <w:basedOn w:val="1"/>
    <w:next w:val="1"/>
    <w:link w:val="11"/>
    <w:unhideWhenUsed/>
    <w:qFormat/>
    <w:uiPriority w:val="0"/>
    <w:pPr>
      <w:keepNext/>
      <w:keepLines/>
      <w:numPr>
        <w:ilvl w:val="0"/>
        <w:numId w:val="1"/>
      </w:numPr>
      <w:spacing w:before="260" w:after="260" w:line="416" w:lineRule="auto"/>
      <w:outlineLvl w:val="1"/>
    </w:pPr>
    <w:rPr>
      <w:rFonts w:ascii="Cambria" w:hAnsi="Cambria" w:eastAsia="宋体" w:cs="Times New Roman"/>
      <w:b/>
      <w:bCs/>
      <w:sz w:val="32"/>
      <w:szCs w:val="32"/>
    </w:rPr>
  </w:style>
  <w:style w:type="character" w:default="1" w:styleId="10">
    <w:name w:val="Default Paragraph Font"/>
    <w:unhideWhenUsed/>
    <w:qFormat/>
    <w:uiPriority w:val="1"/>
  </w:style>
  <w:style w:type="table" w:default="1" w:styleId="9">
    <w:name w:val="Normal Table"/>
    <w:semiHidden/>
    <w:qFormat/>
    <w:uiPriority w:val="0"/>
    <w:tblPr>
      <w:tblStyle w:val="9"/>
      <w:tblCellMar>
        <w:top w:w="0" w:type="dxa"/>
        <w:left w:w="108" w:type="dxa"/>
        <w:bottom w:w="0" w:type="dxa"/>
        <w:right w:w="108" w:type="dxa"/>
      </w:tblCellMar>
    </w:tblPr>
  </w:style>
  <w:style w:type="paragraph" w:customStyle="1" w:styleId="2">
    <w:name w:val="列出段落1"/>
    <w:basedOn w:val="1"/>
    <w:qFormat/>
    <w:uiPriority w:val="0"/>
    <w:pPr>
      <w:ind w:firstLine="420" w:firstLineChars="200"/>
    </w:pPr>
  </w:style>
  <w:style w:type="paragraph" w:styleId="5">
    <w:name w:val="Normal Indent"/>
    <w:basedOn w:val="1"/>
    <w:next w:val="6"/>
    <w:qFormat/>
    <w:uiPriority w:val="0"/>
    <w:pPr>
      <w:ind w:firstLine="420"/>
    </w:pPr>
    <w:rPr>
      <w:szCs w:val="20"/>
    </w:rPr>
  </w:style>
  <w:style w:type="paragraph" w:styleId="6">
    <w:name w:val="toc 4"/>
    <w:basedOn w:val="1"/>
    <w:next w:val="1"/>
    <w:qFormat/>
    <w:uiPriority w:val="31"/>
    <w:pPr>
      <w:ind w:left="1275"/>
    </w:pPr>
    <w:rPr>
      <w:sz w:val="21"/>
      <w:szCs w:val="21"/>
    </w:rPr>
  </w:style>
  <w:style w:type="paragraph" w:styleId="7">
    <w:name w:val="Plain Text"/>
    <w:basedOn w:val="1"/>
    <w:qFormat/>
    <w:uiPriority w:val="0"/>
    <w:pPr>
      <w:spacing w:line="324" w:lineRule="auto"/>
    </w:pPr>
    <w:rPr>
      <w:rFonts w:ascii="Arial" w:hAnsi="楷体"/>
      <w:kern w:val="0"/>
      <w:sz w:val="20"/>
      <w:szCs w:val="21"/>
    </w:rPr>
  </w:style>
  <w:style w:type="paragraph" w:styleId="8">
    <w:name w:val="Normal (Web)"/>
    <w:basedOn w:val="1"/>
    <w:qFormat/>
    <w:uiPriority w:val="0"/>
    <w:pPr>
      <w:widowControl/>
      <w:spacing w:before="100" w:beforeLines="0" w:beforeAutospacing="1" w:after="100" w:afterLines="0" w:afterAutospacing="1"/>
      <w:jc w:val="left"/>
    </w:pPr>
    <w:rPr>
      <w:rFonts w:ascii="Arial" w:hAnsi="Arial" w:cs="Arial"/>
      <w:kern w:val="0"/>
      <w:sz w:val="24"/>
      <w:szCs w:val="24"/>
    </w:rPr>
  </w:style>
  <w:style w:type="character" w:customStyle="1" w:styleId="11">
    <w:name w:val="标题 2 Char"/>
    <w:basedOn w:val="10"/>
    <w:link w:val="4"/>
    <w:qFormat/>
    <w:uiPriority w:val="9"/>
    <w:rPr>
      <w:rFonts w:ascii="Cambria" w:hAnsi="Cambria" w:eastAsia="宋体" w:cs="Times New Roman"/>
      <w:b/>
      <w:bCs/>
      <w:sz w:val="32"/>
      <w:szCs w:val="32"/>
    </w:rPr>
  </w:style>
  <w:style w:type="paragraph" w:customStyle="1" w:styleId="12">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3221</Words>
  <Characters>3296</Characters>
  <Lines>0</Lines>
  <Paragraphs>0</Paragraphs>
  <TotalTime>0</TotalTime>
  <ScaleCrop>false</ScaleCrop>
  <LinksUpToDate>false</LinksUpToDate>
  <CharactersWithSpaces>3593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cp:lastModifiedBy>
  <dcterms:modified xsi:type="dcterms:W3CDTF">2025-10-09T07:33:28Z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5AD206B96C42482D801E78D53C4C3432_13</vt:lpwstr>
  </property>
  <property fmtid="{D5CDD505-2E9C-101B-9397-08002B2CF9AE}" pid="4" name="KSOTemplateDocerSaveRecord">
    <vt:lpwstr>eyJoZGlkIjoiOWRkYWJjMGI3NGU0YmE5NTE3ZDEwOTc3YWU0ODhlZjkiLCJ1c2VySWQiOiI0NTMzNDYxODAifQ==</vt:lpwstr>
  </property>
</Properties>
</file>