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版本号：ZZTT-CG-2025-4220250929001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2025年度蒲城县紫荆街道魏大姐椽头馍加工项目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ZZTT-CG-2025-42</w:t>
      </w:r>
      <w:r>
        <w:br/>
      </w:r>
      <w:r>
        <w:br/>
      </w:r>
      <w:r>
        <w:br/>
      </w:r>
    </w:p>
    <w:p>
      <w:pPr>
        <w:pStyle w:val="null3"/>
        <w:jc w:val="center"/>
        <w:outlineLvl w:val="2"/>
      </w:pPr>
      <w:r>
        <w:rPr>
          <w:rFonts w:ascii="仿宋_GB2312" w:hAnsi="仿宋_GB2312" w:cs="仿宋_GB2312" w:eastAsia="仿宋_GB2312"/>
          <w:sz w:val="28"/>
          <w:b/>
        </w:rPr>
        <w:t>蒲城县紫荆街道办事处</w:t>
      </w:r>
    </w:p>
    <w:p>
      <w:pPr>
        <w:pStyle w:val="null3"/>
        <w:jc w:val="center"/>
        <w:outlineLvl w:val="2"/>
      </w:pPr>
      <w:r>
        <w:rPr>
          <w:rFonts w:ascii="仿宋_GB2312" w:hAnsi="仿宋_GB2312" w:cs="仿宋_GB2312" w:eastAsia="仿宋_GB2312"/>
          <w:sz w:val="28"/>
          <w:b/>
        </w:rPr>
        <w:t>陕西中正天投项目管理有限公司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陕西中正天投项目管理有限公司</w:t>
      </w:r>
      <w:r>
        <w:rPr>
          <w:rFonts w:ascii="仿宋_GB2312" w:hAnsi="仿宋_GB2312" w:cs="仿宋_GB2312" w:eastAsia="仿宋_GB2312"/>
        </w:rPr>
        <w:t>（以下简称“代理机构”）受</w:t>
      </w:r>
      <w:r>
        <w:rPr>
          <w:rFonts w:ascii="仿宋_GB2312" w:hAnsi="仿宋_GB2312" w:cs="仿宋_GB2312" w:eastAsia="仿宋_GB2312"/>
        </w:rPr>
        <w:t>蒲城县紫荆街道办事处</w:t>
      </w:r>
      <w:r>
        <w:rPr>
          <w:rFonts w:ascii="仿宋_GB2312" w:hAnsi="仿宋_GB2312" w:cs="仿宋_GB2312" w:eastAsia="仿宋_GB2312"/>
        </w:rPr>
        <w:t>委托，拟对</w:t>
      </w:r>
      <w:r>
        <w:rPr>
          <w:rFonts w:ascii="仿宋_GB2312" w:hAnsi="仿宋_GB2312" w:cs="仿宋_GB2312" w:eastAsia="仿宋_GB2312"/>
        </w:rPr>
        <w:t>2025年度蒲城县紫荆街道魏大姐椽头馍加工项目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ZZTT-CG-2025-42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2025年度蒲城县紫荆街道魏大姐椽头馍加工项目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全自动生产设备一套（包含：拌料提升系统、全自动成型系统、3米双轨道整型、红外自动感应传递系统、全自动数控整盘系统）及配套水电等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采购包1（2025年度蒲城县紫荆街道魏大姐椽头馍加工项目）：属于专门面向中小企业采购。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2、税收缴纳证明：提供投标截止日期前六个月内任意一个月的纳税证明或完税证明</w:t>
      </w:r>
    </w:p>
    <w:p>
      <w:pPr>
        <w:pStyle w:val="null3"/>
      </w:pPr>
      <w:r>
        <w:rPr>
          <w:rFonts w:ascii="仿宋_GB2312" w:hAnsi="仿宋_GB2312" w:cs="仿宋_GB2312" w:eastAsia="仿宋_GB2312"/>
        </w:rPr>
        <w:t>3、社会保障资金缴纳证明：提供投标截止日期前六个月内任意一个月的社会保障资金缴存单据或社保机构开具的社会保险参保缴费情况证明</w:t>
      </w:r>
    </w:p>
    <w:p>
      <w:pPr>
        <w:pStyle w:val="null3"/>
      </w:pPr>
      <w:r>
        <w:rPr>
          <w:rFonts w:ascii="仿宋_GB2312" w:hAnsi="仿宋_GB2312" w:cs="仿宋_GB2312" w:eastAsia="仿宋_GB2312"/>
        </w:rPr>
        <w:t>4、法定代表人身份证明或法定代表人授权委托书：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p>
      <w:pPr>
        <w:pStyle w:val="null3"/>
      </w:pPr>
      <w:r>
        <w:rPr>
          <w:rFonts w:ascii="仿宋_GB2312" w:hAnsi="仿宋_GB2312" w:cs="仿宋_GB2312" w:eastAsia="仿宋_GB2312"/>
        </w:rPr>
        <w:t>5、信用记录：供应商不得被“信用中国”（www.creditchina.gov.cn）列入重大税收违法失信主体；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6、近三年内在经营活动中无重大违法记录：提供近三年内在经营活动中无重大违法记录的书面声明</w:t>
      </w:r>
    </w:p>
    <w:p>
      <w:pPr>
        <w:pStyle w:val="null3"/>
      </w:pPr>
      <w:r>
        <w:rPr>
          <w:rFonts w:ascii="仿宋_GB2312" w:hAnsi="仿宋_GB2312" w:cs="仿宋_GB2312" w:eastAsia="仿宋_GB2312"/>
        </w:rPr>
        <w:t>7、履约能力：提供具有履行本合同所必需的设备和专业技术能力的说明及承诺</w:t>
      </w:r>
    </w:p>
    <w:p>
      <w:pPr>
        <w:pStyle w:val="null3"/>
      </w:pPr>
      <w:r>
        <w:rPr>
          <w:rFonts w:ascii="仿宋_GB2312" w:hAnsi="仿宋_GB2312" w:cs="仿宋_GB2312" w:eastAsia="仿宋_GB2312"/>
        </w:rPr>
        <w:t>8、本项目不接受联合体投标：提供非联合体投标承诺书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蒲城县紫荆街道办事处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蒲城县重泉路南段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0913-7209502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陕西中正天投项目管理有限公司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陕西省西安市市本级陕西省西安市高新区锦业路32号锦业时代B3座1701室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18792625857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采购包1：1,019,009.51元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开户名称：陕西中正天投项目管理有限公司</w:t>
            </w:r>
          </w:p>
          <w:p>
            <w:pPr>
              <w:pStyle w:val="null3"/>
            </w:pPr>
            <w:r>
              <w:rPr>
                <w:rFonts w:ascii="仿宋_GB2312" w:hAnsi="仿宋_GB2312" w:cs="仿宋_GB2312" w:eastAsia="仿宋_GB2312"/>
              </w:rPr>
              <w:t>开户银行： 交通银行西安北辰大道支行</w:t>
            </w:r>
          </w:p>
          <w:p>
            <w:pPr>
              <w:pStyle w:val="null3"/>
            </w:pPr>
            <w:r>
              <w:rPr>
                <w:rFonts w:ascii="仿宋_GB2312" w:hAnsi="仿宋_GB2312" w:cs="仿宋_GB2312" w:eastAsia="仿宋_GB2312"/>
              </w:rPr>
              <w:t>银行账号： 611301014013000111177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基本户转入） 账户名称： 陕西中正天投项目管理有限公司 开户银行： 交通银行西安北辰大道支行 账号： 611301014013000111177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蒲城县紫荆街道办事处</w:t>
      </w:r>
      <w:r>
        <w:rPr>
          <w:rFonts w:ascii="仿宋_GB2312" w:hAnsi="仿宋_GB2312" w:cs="仿宋_GB2312" w:eastAsia="仿宋_GB2312"/>
        </w:rPr>
        <w:t>和</w:t>
      </w:r>
      <w:r>
        <w:rPr>
          <w:rFonts w:ascii="仿宋_GB2312" w:hAnsi="仿宋_GB2312" w:cs="仿宋_GB2312" w:eastAsia="仿宋_GB2312"/>
        </w:rPr>
        <w:t>陕西中正天投项目管理有限公司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蒲城县紫荆街道办事处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陕西中正天投项目管理有限公司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蒲城县紫荆街道办事处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陕西中正天投项目管理有限公司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联系人：薛璐</w:t>
      </w:r>
    </w:p>
    <w:p>
      <w:pPr>
        <w:pStyle w:val="null3"/>
      </w:pPr>
      <w:r>
        <w:rPr>
          <w:rFonts w:ascii="仿宋_GB2312" w:hAnsi="仿宋_GB2312" w:cs="仿宋_GB2312" w:eastAsia="仿宋_GB2312"/>
        </w:rPr>
        <w:t>联系电话：18792625857</w:t>
      </w:r>
    </w:p>
    <w:p>
      <w:pPr>
        <w:pStyle w:val="null3"/>
      </w:pPr>
      <w:r>
        <w:rPr>
          <w:rFonts w:ascii="仿宋_GB2312" w:hAnsi="仿宋_GB2312" w:cs="仿宋_GB2312" w:eastAsia="仿宋_GB2312"/>
        </w:rPr>
        <w:t>地址：锦业路锦业时代B2栋21楼2104室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全自动生产设备一套（包含：拌料提升系统、全自动成型系统、3米双轨道整型、红外自动感应传递系统、全自动数控整盘系统）及配套水电等。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1,019,009.51</w:t>
      </w:r>
    </w:p>
    <w:p>
      <w:pPr>
        <w:pStyle w:val="null3"/>
      </w:pPr>
      <w:r>
        <w:rPr>
          <w:rFonts w:ascii="仿宋_GB2312" w:hAnsi="仿宋_GB2312" w:cs="仿宋_GB2312" w:eastAsia="仿宋_GB2312"/>
        </w:rPr>
        <w:t>采购包最高限价（元）: 1,019,009.51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2025年度蒲城县紫荆街道魏大姐椽头馍加工项目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1,019,009.51</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标的名称：2025年度蒲城县紫荆街道魏大姐椽头馍加工项目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443"/>
              <w:gridCol w:w="588"/>
              <w:gridCol w:w="1512"/>
            </w:tblGrid>
            <w:tr>
              <w:tc>
                <w:tcPr>
                  <w:tcW w:type="dxa" w:w="1031"/>
                  <w:gridSpan w:val="2"/>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设备名称</w:t>
                  </w:r>
                </w:p>
              </w:tc>
              <w:tc>
                <w:tcPr>
                  <w:tcW w:type="dxa" w:w="1512"/>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技术要求</w:t>
                  </w:r>
                </w:p>
              </w:tc>
            </w:tr>
            <w:tr>
              <w:tc>
                <w:tcPr>
                  <w:tcW w:type="dxa" w:w="443"/>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全自动生产设备</w:t>
                  </w:r>
                  <w:r>
                    <w:rPr>
                      <w:rFonts w:ascii="仿宋_GB2312" w:hAnsi="仿宋_GB2312" w:cs="仿宋_GB2312" w:eastAsia="仿宋_GB2312"/>
                      <w:sz w:val="24"/>
                    </w:rPr>
                    <w:t>1</w:t>
                  </w:r>
                  <w:r>
                    <w:rPr>
                      <w:rFonts w:ascii="仿宋_GB2312" w:hAnsi="仿宋_GB2312" w:cs="仿宋_GB2312" w:eastAsia="仿宋_GB2312"/>
                      <w:sz w:val="24"/>
                    </w:rPr>
                    <w:t>套</w:t>
                  </w:r>
                </w:p>
              </w:tc>
              <w:tc>
                <w:tcPr>
                  <w:tcW w:type="dxa" w:w="5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拌料提升系统</w:t>
                  </w:r>
                </w:p>
              </w:tc>
              <w:tc>
                <w:tcPr>
                  <w:tcW w:type="dxa" w:w="1512"/>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每小时拌料量</w:t>
                  </w:r>
                  <w:r>
                    <w:rPr>
                      <w:rFonts w:ascii="仿宋_GB2312" w:hAnsi="仿宋_GB2312" w:cs="仿宋_GB2312" w:eastAsia="仿宋_GB2312"/>
                      <w:sz w:val="24"/>
                    </w:rPr>
                    <w:t>≥190kg</w:t>
                  </w:r>
                  <w:r>
                    <w:rPr>
                      <w:rFonts w:ascii="仿宋_GB2312" w:hAnsi="仿宋_GB2312" w:cs="仿宋_GB2312" w:eastAsia="仿宋_GB2312"/>
                      <w:sz w:val="24"/>
                    </w:rPr>
                    <w:t>，</w:t>
                  </w:r>
                  <w:r>
                    <w:rPr>
                      <w:rFonts w:ascii="仿宋_GB2312" w:hAnsi="仿宋_GB2312" w:cs="仿宋_GB2312" w:eastAsia="仿宋_GB2312"/>
                      <w:sz w:val="24"/>
                    </w:rPr>
                    <w:t>外观材质及面粉接触部分均为不锈钢</w:t>
                  </w:r>
                </w:p>
              </w:tc>
            </w:tr>
            <w:tr>
              <w:tc>
                <w:tcPr>
                  <w:tcW w:type="dxa" w:w="443"/>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p>
              </w:tc>
              <w:tc>
                <w:tcPr>
                  <w:tcW w:type="dxa" w:w="5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全自动成型系统</w:t>
                  </w:r>
                </w:p>
              </w:tc>
              <w:tc>
                <w:tcPr>
                  <w:tcW w:type="dxa" w:w="151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外观材质为不锈钢，每小时成型量</w:t>
                  </w:r>
                  <w:r>
                    <w:rPr>
                      <w:rFonts w:ascii="仿宋_GB2312" w:hAnsi="仿宋_GB2312" w:cs="仿宋_GB2312" w:eastAsia="仿宋_GB2312"/>
                      <w:sz w:val="24"/>
                    </w:rPr>
                    <w:t>≥200kg</w:t>
                  </w:r>
                  <w:r>
                    <w:rPr>
                      <w:rFonts w:ascii="仿宋_GB2312" w:hAnsi="仿宋_GB2312" w:cs="仿宋_GB2312" w:eastAsia="仿宋_GB2312"/>
                      <w:sz w:val="24"/>
                    </w:rPr>
                    <w:t>，</w:t>
                  </w:r>
                  <w:r>
                    <w:rPr>
                      <w:rFonts w:ascii="仿宋_GB2312" w:hAnsi="仿宋_GB2312" w:cs="仿宋_GB2312" w:eastAsia="仿宋_GB2312"/>
                      <w:sz w:val="24"/>
                    </w:rPr>
                    <w:t>成型速度</w:t>
                  </w:r>
                  <w:r>
                    <w:rPr>
                      <w:rFonts w:ascii="仿宋_GB2312" w:hAnsi="仿宋_GB2312" w:cs="仿宋_GB2312" w:eastAsia="仿宋_GB2312"/>
                      <w:sz w:val="24"/>
                    </w:rPr>
                    <w:t>≥3</w:t>
                  </w:r>
                  <w:r>
                    <w:rPr>
                      <w:rFonts w:ascii="仿宋_GB2312" w:hAnsi="仿宋_GB2312" w:cs="仿宋_GB2312" w:eastAsia="仿宋_GB2312"/>
                      <w:sz w:val="24"/>
                    </w:rPr>
                    <w:t>个</w:t>
                  </w:r>
                  <w:r>
                    <w:rPr>
                      <w:rFonts w:ascii="仿宋_GB2312" w:hAnsi="仿宋_GB2312" w:cs="仿宋_GB2312" w:eastAsia="仿宋_GB2312"/>
                      <w:sz w:val="24"/>
                    </w:rPr>
                    <w:t xml:space="preserve">/ </w:t>
                  </w:r>
                  <w:r>
                    <w:rPr>
                      <w:rFonts w:ascii="仿宋_GB2312" w:hAnsi="仿宋_GB2312" w:cs="仿宋_GB2312" w:eastAsia="仿宋_GB2312"/>
                      <w:sz w:val="24"/>
                    </w:rPr>
                    <w:t>秒</w:t>
                  </w:r>
                </w:p>
              </w:tc>
            </w:tr>
            <w:tr>
              <w:tc>
                <w:tcPr>
                  <w:tcW w:type="dxa" w:w="443"/>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p>
              </w:tc>
              <w:tc>
                <w:tcPr>
                  <w:tcW w:type="dxa" w:w="5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米双轨道整型</w:t>
                  </w:r>
                </w:p>
              </w:tc>
              <w:tc>
                <w:tcPr>
                  <w:tcW w:type="dxa" w:w="151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每小时整形量</w:t>
                  </w:r>
                  <w:r>
                    <w:rPr>
                      <w:rFonts w:ascii="仿宋_GB2312" w:hAnsi="仿宋_GB2312" w:cs="仿宋_GB2312" w:eastAsia="仿宋_GB2312"/>
                      <w:sz w:val="24"/>
                    </w:rPr>
                    <w:t>≥200kg</w:t>
                  </w:r>
                  <w:r>
                    <w:rPr>
                      <w:rFonts w:ascii="仿宋_GB2312" w:hAnsi="仿宋_GB2312" w:cs="仿宋_GB2312" w:eastAsia="仿宋_GB2312"/>
                      <w:sz w:val="24"/>
                    </w:rPr>
                    <w:t>，</w:t>
                  </w:r>
                  <w:r>
                    <w:rPr>
                      <w:rFonts w:ascii="仿宋_GB2312" w:hAnsi="仿宋_GB2312" w:cs="仿宋_GB2312" w:eastAsia="仿宋_GB2312"/>
                      <w:sz w:val="24"/>
                    </w:rPr>
                    <w:t>整形商品率</w:t>
                  </w:r>
                  <w:r>
                    <w:rPr>
                      <w:rFonts w:ascii="仿宋_GB2312" w:hAnsi="仿宋_GB2312" w:cs="仿宋_GB2312" w:eastAsia="仿宋_GB2312"/>
                      <w:sz w:val="24"/>
                    </w:rPr>
                    <w:t>≥92%</w:t>
                  </w:r>
                  <w:r>
                    <w:rPr>
                      <w:rFonts w:ascii="仿宋_GB2312" w:hAnsi="仿宋_GB2312" w:cs="仿宋_GB2312" w:eastAsia="仿宋_GB2312"/>
                      <w:sz w:val="24"/>
                    </w:rPr>
                    <w:t>，</w:t>
                  </w:r>
                  <w:r>
                    <w:rPr>
                      <w:rFonts w:ascii="仿宋_GB2312" w:hAnsi="仿宋_GB2312" w:cs="仿宋_GB2312" w:eastAsia="仿宋_GB2312"/>
                      <w:sz w:val="24"/>
                    </w:rPr>
                    <w:t>外壳为不锈钢材质，输送带具有面粉可接触性</w:t>
                  </w:r>
                </w:p>
              </w:tc>
            </w:tr>
            <w:tr>
              <w:tc>
                <w:tcPr>
                  <w:tcW w:type="dxa" w:w="443"/>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p>
              </w:tc>
              <w:tc>
                <w:tcPr>
                  <w:tcW w:type="dxa" w:w="5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红外自动感应传递系统</w:t>
                  </w:r>
                </w:p>
              </w:tc>
              <w:tc>
                <w:tcPr>
                  <w:tcW w:type="dxa" w:w="151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能感应到单个面食制品，可进行自动红外计数功能，每秒计数</w:t>
                  </w:r>
                  <w:r>
                    <w:rPr>
                      <w:rFonts w:ascii="仿宋_GB2312" w:hAnsi="仿宋_GB2312" w:cs="仿宋_GB2312" w:eastAsia="仿宋_GB2312"/>
                      <w:sz w:val="24"/>
                    </w:rPr>
                    <w:t>≥3</w:t>
                  </w:r>
                  <w:r>
                    <w:rPr>
                      <w:rFonts w:ascii="仿宋_GB2312" w:hAnsi="仿宋_GB2312" w:cs="仿宋_GB2312" w:eastAsia="仿宋_GB2312"/>
                      <w:sz w:val="24"/>
                    </w:rPr>
                    <w:t>个</w:t>
                  </w:r>
                </w:p>
              </w:tc>
            </w:tr>
            <w:tr>
              <w:tc>
                <w:tcPr>
                  <w:tcW w:type="dxa" w:w="44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p>
              </w:tc>
              <w:tc>
                <w:tcPr>
                  <w:tcW w:type="dxa" w:w="5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全自动数控整盘系统</w:t>
                  </w:r>
                </w:p>
              </w:tc>
              <w:tc>
                <w:tcPr>
                  <w:tcW w:type="dxa" w:w="151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内置数控系统，可以设置行数及单行数量</w:t>
                  </w:r>
                  <w:r>
                    <w:rPr>
                      <w:rFonts w:ascii="仿宋_GB2312" w:hAnsi="仿宋_GB2312" w:cs="仿宋_GB2312" w:eastAsia="仿宋_GB2312"/>
                      <w:sz w:val="24"/>
                    </w:rPr>
                    <w:t>≥5</w:t>
                  </w:r>
                  <w:r>
                    <w:rPr>
                      <w:rFonts w:ascii="仿宋_GB2312" w:hAnsi="仿宋_GB2312" w:cs="仿宋_GB2312" w:eastAsia="仿宋_GB2312"/>
                      <w:sz w:val="24"/>
                    </w:rPr>
                    <w:t>个，单行控制数量外观为不锈钢</w:t>
                  </w:r>
                </w:p>
              </w:tc>
            </w:tr>
            <w:tr>
              <w:tc>
                <w:tcPr>
                  <w:tcW w:type="dxa" w:w="44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配套水电</w:t>
                  </w:r>
                </w:p>
              </w:tc>
              <w:tc>
                <w:tcPr>
                  <w:tcW w:type="dxa" w:w="2100"/>
                  <w:gridSpan w:val="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电缆约</w:t>
                  </w:r>
                  <w:r>
                    <w:rPr>
                      <w:rFonts w:ascii="仿宋_GB2312" w:hAnsi="仿宋_GB2312" w:cs="仿宋_GB2312" w:eastAsia="仿宋_GB2312"/>
                      <w:sz w:val="24"/>
                    </w:rPr>
                    <w:t>120</w:t>
                  </w:r>
                  <w:r>
                    <w:rPr>
                      <w:rFonts w:ascii="仿宋_GB2312" w:hAnsi="仿宋_GB2312" w:cs="仿宋_GB2312" w:eastAsia="仿宋_GB2312"/>
                      <w:sz w:val="24"/>
                    </w:rPr>
                    <w:t>米，专业线槽约</w:t>
                  </w:r>
                  <w:r>
                    <w:rPr>
                      <w:rFonts w:ascii="仿宋_GB2312" w:hAnsi="仿宋_GB2312" w:cs="仿宋_GB2312" w:eastAsia="仿宋_GB2312"/>
                      <w:sz w:val="24"/>
                    </w:rPr>
                    <w:t>120</w:t>
                  </w:r>
                  <w:r>
                    <w:rPr>
                      <w:rFonts w:ascii="仿宋_GB2312" w:hAnsi="仿宋_GB2312" w:cs="仿宋_GB2312" w:eastAsia="仿宋_GB2312"/>
                      <w:sz w:val="24"/>
                    </w:rPr>
                    <w:t>米，水管约</w:t>
                  </w:r>
                  <w:r>
                    <w:rPr>
                      <w:rFonts w:ascii="仿宋_GB2312" w:hAnsi="仿宋_GB2312" w:cs="仿宋_GB2312" w:eastAsia="仿宋_GB2312"/>
                      <w:sz w:val="24"/>
                    </w:rPr>
                    <w:t>100</w:t>
                  </w:r>
                  <w:r>
                    <w:rPr>
                      <w:rFonts w:ascii="仿宋_GB2312" w:hAnsi="仿宋_GB2312" w:cs="仿宋_GB2312" w:eastAsia="仿宋_GB2312"/>
                      <w:sz w:val="24"/>
                    </w:rPr>
                    <w:t>米，安装及配套电箱空开，由总电箱及就近水源进行安装， 满足设备需求的水电。</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合同签订后，设备交货并安装完成后可正常使用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货物（产品）安装、调试开始前，中标方负责安排使用单位维修技术人员进行技术培训；在设备安装调试期间或以后，中标方必须安排技术人员现场对使用单位的操作、维护技术人员进行操作应用及维护保养等方面更深入的技能培训，使他们具备操作和必要的调整、维护技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2、未按合同要求提供产品或货物质量不能满足技术要求，采购人有权终止合同，并对供方违约行为进行追究，同时按《政府采购法》的有关规定进行处罚。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提供投标截止日期前六个月内任意一个月的纳税证明或完税证明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投标响应文件的完整性审查</w:t>
            </w:r>
          </w:p>
        </w:tc>
        <w:tc>
          <w:tcPr>
            <w:tcW w:type="dxa" w:w="3322"/>
          </w:tcPr>
          <w:p>
            <w:pPr>
              <w:pStyle w:val="null3"/>
            </w:pPr>
            <w:r>
              <w:rPr>
                <w:rFonts w:ascii="仿宋_GB2312" w:hAnsi="仿宋_GB2312" w:cs="仿宋_GB2312" w:eastAsia="仿宋_GB2312"/>
              </w:rPr>
              <w:t>1.投标响应文件是否按照招标文件要求的格式编写； 2.投标响应文件内容是否有重大缺漏项。</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投标响应文件的有效性审查</w:t>
            </w:r>
          </w:p>
        </w:tc>
        <w:tc>
          <w:tcPr>
            <w:tcW w:type="dxa" w:w="3322"/>
          </w:tcPr>
          <w:p>
            <w:pPr>
              <w:pStyle w:val="null3"/>
            </w:pPr>
            <w:r>
              <w:rPr>
                <w:rFonts w:ascii="仿宋_GB2312" w:hAnsi="仿宋_GB2312" w:cs="仿宋_GB2312" w:eastAsia="仿宋_GB2312"/>
              </w:rPr>
              <w:t>1.投标响应文件的签署、加盖印章是否合格、有效； 2.提供的各种证明文件、数据、资料是否真实、有效。</w:t>
            </w:r>
          </w:p>
        </w:tc>
        <w:tc>
          <w:tcPr>
            <w:tcW w:type="dxa" w:w="1661"/>
          </w:tcPr>
          <w:p>
            <w:pPr>
              <w:pStyle w:val="null3"/>
            </w:pPr>
            <w:r>
              <w:rPr>
                <w:rFonts w:ascii="仿宋_GB2312" w:hAnsi="仿宋_GB2312" w:cs="仿宋_GB2312" w:eastAsia="仿宋_GB2312"/>
              </w:rPr>
              <w:t>商务应答表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1.投标报价是否超过采购预算；2.投标有效期是否符合招标文件的要求。</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项目组织实施计划完整可行，资金等保障措施可靠，能够保证按期供货，具有明确的项目组织机构及实施方案，评标委员会从以下方面进行比较后赋分。 ①产品运输及供货进度计划（根据产品运输及供货进度计划情况的合理、有效、有针对性，根据响应程度横向打分）。 描述完整、可操作性强、细节描述详细，计15分； 描述完整，基本可行，计10分； 描述粗略的计5分。 ②培训方案：根据培训计划及方案的完整性（包括培训方案、培训计划、培训对象、培训内容等）。 方案内容详细、完整、可行性高计12分； 方案内容基本完整、有可行性高计8分； 方案内容粗略一般，可行性低计4分 ③拟投入本项目的人员安排及责任制度。 人员充足、分工明确、安排合理、责任能够落实到具体人员，能充分保证项目实施计11分； 人员配备描述及责任制度基本可行，计7分； 人员配备描述粗略的计3分。 注：上述内容，缺项漏项得0分</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技术响应及产品质量</w:t>
            </w:r>
          </w:p>
        </w:tc>
        <w:tc>
          <w:tcPr>
            <w:tcW w:type="dxa" w:w="2492"/>
          </w:tcPr>
          <w:p>
            <w:pPr>
              <w:pStyle w:val="null3"/>
            </w:pPr>
            <w:r>
              <w:rPr>
                <w:rFonts w:ascii="仿宋_GB2312" w:hAnsi="仿宋_GB2312" w:cs="仿宋_GB2312" w:eastAsia="仿宋_GB2312"/>
              </w:rPr>
              <w:t>①技术响应：根据各供应商所提供产品是否满足磋商中文件参数要求，参数完全满足计5分；有负偏离参数一项扣1分，扣完为止（技术指标提供技术支持资料，并在技术偏离表“说明”栏中标明页码，未提供不得分）。 （可提供产品相关资料（例如：包含但不限于产品说明书，配置清单等） ②产品质量：产品质量保证完善，符合国家相关标准或行业标准。供应商针对问题产品的质量跟踪和退换货制定切实可行的服务方案。 方案内容详细、完整、可行性高计5分； 方案内容基本完整、有可行性高计2分； 方案内容粗略一般，可行性低计1分 注：上述内容，缺项漏项得0分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供应商所提供的售后服务内容包含但不限于“第三部分 采购内容及要求”中的售后服务要求。 售后服务组织措施、承诺及保修、可行性强，得13分； 售后服务组织措施、承诺及保修基本可行，得8分； 售后服务组织措施、承诺及保修不完整、描述粗略，得4分。 注：上述内容，缺项漏项得0分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对供货期限、质保期、付款方式、服务要求等商务要求完全响应的计5分； 每有一项优于磋商文件要求的，每项加 0.5 分，最高加 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供应商2022年1月至今承担过类似项目业绩合同，每个业绩得2分，最高得4分。（以合同签订时间为准，须提供合同复印 件并加盖供应商公章）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