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18B7AB39">
      <w:pPr>
        <w:pStyle w:val="4"/>
        <w:pageBreakBefore w:val="0"/>
        <w:wordWrap/>
        <w:overflowPunct/>
        <w:bidi w:val="0"/>
        <w:adjustRightInd w:val="0"/>
        <w:snapToGrid w:val="0"/>
        <w:spacing w:line="360" w:lineRule="auto"/>
        <w:jc w:val="center"/>
        <w:outlineLvl w:val="9"/>
        <w:rPr>
          <w:rFonts w:hint="eastAsia" w:ascii="宋体" w:hAnsi="宋体" w:eastAsia="宋体" w:cs="宋体"/>
          <w:sz w:val="28"/>
          <w:szCs w:val="21"/>
          <w:highlight w:val="none"/>
          <w:lang w:eastAsia="zh-CN"/>
        </w:rPr>
      </w:pPr>
      <w:r>
        <w:rPr>
          <w:rFonts w:hint="eastAsia" w:ascii="宋体" w:hAnsi="宋体" w:eastAsia="宋体" w:cs="宋体"/>
          <w:b/>
          <w:bCs/>
          <w:sz w:val="56"/>
          <w:szCs w:val="56"/>
          <w:highlight w:val="none"/>
          <w:lang w:eastAsia="zh-CN"/>
        </w:rPr>
        <w:t>蒲城县2024年中央财政林业</w:t>
      </w:r>
      <w:bookmarkStart w:id="18" w:name="_GoBack"/>
      <w:bookmarkEnd w:id="18"/>
      <w:r>
        <w:rPr>
          <w:rFonts w:hint="eastAsia" w:ascii="宋体" w:hAnsi="宋体" w:eastAsia="宋体" w:cs="宋体"/>
          <w:b/>
          <w:bCs/>
          <w:sz w:val="56"/>
          <w:szCs w:val="56"/>
          <w:highlight w:val="none"/>
          <w:lang w:eastAsia="zh-CN"/>
        </w:rPr>
        <w:t>草原森林防火项目</w:t>
      </w:r>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p>
    <w:p w14:paraId="3B2F0DF0">
      <w:pPr>
        <w:pStyle w:val="4"/>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4"/>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五</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AED4D95"/>
    <w:rsid w:val="42275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1746</Words>
  <Characters>1753</Characters>
  <Lines>0</Lines>
  <Paragraphs>0</Paragraphs>
  <TotalTime>0</TotalTime>
  <ScaleCrop>false</ScaleCrop>
  <LinksUpToDate>false</LinksUpToDate>
  <CharactersWithSpaces>2586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2025-09-02T08:41:18Z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